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3C7DE" w14:textId="77777777" w:rsidR="00662AC2" w:rsidRPr="001215B9" w:rsidRDefault="00662AC2" w:rsidP="001215B9">
      <w:pPr>
        <w:spacing w:after="120" w:line="360" w:lineRule="auto"/>
        <w:jc w:val="both"/>
        <w:rPr>
          <w:rFonts w:ascii="Calibri" w:eastAsia="Times New Roman" w:hAnsi="Calibri"/>
          <w:b/>
        </w:rPr>
      </w:pPr>
      <w:bookmarkStart w:id="0" w:name="_GoBack"/>
      <w:bookmarkEnd w:id="0"/>
      <w:r w:rsidRPr="001215B9">
        <w:rPr>
          <w:rFonts w:ascii="Calibri" w:eastAsia="Times New Roman" w:hAnsi="Calibri"/>
          <w:b/>
        </w:rPr>
        <w:t xml:space="preserve">Chapter 12: The Migration-Trade Nexus: Migration Provisions in Trade Agreements </w:t>
      </w:r>
    </w:p>
    <w:p w14:paraId="3B976704" w14:textId="77777777" w:rsidR="00662AC2" w:rsidRPr="001215B9" w:rsidRDefault="00662AC2" w:rsidP="001215B9">
      <w:pPr>
        <w:spacing w:after="120" w:line="360" w:lineRule="auto"/>
        <w:jc w:val="both"/>
        <w:rPr>
          <w:rFonts w:ascii="Calibri" w:eastAsia="Times New Roman" w:hAnsi="Calibri"/>
        </w:rPr>
      </w:pPr>
      <w:r w:rsidRPr="001215B9">
        <w:rPr>
          <w:rFonts w:ascii="Calibri" w:eastAsia="Times New Roman" w:hAnsi="Calibri"/>
        </w:rPr>
        <w:t>Sandra Lavenex and Flavia</w:t>
      </w:r>
      <w:r w:rsidR="00F761E3" w:rsidRPr="001215B9">
        <w:rPr>
          <w:rFonts w:ascii="Calibri" w:eastAsia="Times New Roman" w:hAnsi="Calibri"/>
        </w:rPr>
        <w:t xml:space="preserve"> Jurj</w:t>
      </w:r>
      <w:r w:rsidR="00DB211F">
        <w:rPr>
          <w:rFonts w:ascii="Calibri" w:eastAsia="Times New Roman" w:hAnsi="Calibri"/>
        </w:rPr>
        <w:t>e</w:t>
      </w:r>
    </w:p>
    <w:p w14:paraId="3A57D65A" w14:textId="77777777" w:rsidR="00662AC2" w:rsidRDefault="00662AC2" w:rsidP="001215B9">
      <w:pPr>
        <w:spacing w:after="120" w:line="360" w:lineRule="auto"/>
        <w:jc w:val="both"/>
        <w:rPr>
          <w:rFonts w:ascii="Calibri" w:eastAsia="Times New Roman" w:hAnsi="Calibri" w:cs="Times New Roman"/>
          <w:color w:val="000000"/>
        </w:rPr>
      </w:pPr>
    </w:p>
    <w:p w14:paraId="56C702A0" w14:textId="77777777" w:rsidR="003A18D6" w:rsidRPr="001215B9" w:rsidRDefault="003A18D6" w:rsidP="001215B9">
      <w:pPr>
        <w:spacing w:after="120" w:line="360" w:lineRule="auto"/>
        <w:jc w:val="both"/>
        <w:rPr>
          <w:rFonts w:ascii="Calibri" w:eastAsia="Times New Roman" w:hAnsi="Calibri" w:cs="Times New Roman"/>
        </w:rPr>
      </w:pPr>
      <w:r>
        <w:rPr>
          <w:rFonts w:ascii="Calibri" w:eastAsia="Times New Roman" w:hAnsi="Calibri" w:cs="Times New Roman"/>
          <w:color w:val="000000"/>
        </w:rPr>
        <w:t>Abstract</w:t>
      </w:r>
    </w:p>
    <w:p w14:paraId="2BBC9C5A" w14:textId="77777777" w:rsidR="00662AC2" w:rsidRPr="001215B9" w:rsidRDefault="00662AC2" w:rsidP="001215B9">
      <w:pPr>
        <w:spacing w:after="120" w:line="360" w:lineRule="auto"/>
        <w:jc w:val="both"/>
        <w:rPr>
          <w:rFonts w:ascii="Calibri" w:eastAsia="Times New Roman" w:hAnsi="Calibri" w:cs="Arial"/>
        </w:rPr>
      </w:pPr>
      <w:r w:rsidRPr="001215B9">
        <w:rPr>
          <w:rFonts w:ascii="Calibri" w:eastAsia="Times New Roman" w:hAnsi="Calibri" w:cs="Arial"/>
        </w:rPr>
        <w:t xml:space="preserve">Rather unnoticed from academic </w:t>
      </w:r>
      <w:r w:rsidR="003A18D6">
        <w:rPr>
          <w:rFonts w:ascii="Calibri" w:eastAsia="Times New Roman" w:hAnsi="Calibri" w:cs="Arial"/>
        </w:rPr>
        <w:t>debates</w:t>
      </w:r>
      <w:r w:rsidRPr="001215B9">
        <w:rPr>
          <w:rFonts w:ascii="Calibri" w:eastAsia="Times New Roman" w:hAnsi="Calibri" w:cs="Arial"/>
        </w:rPr>
        <w:t xml:space="preserve">, a dynamic agenda on trade-related mobility rights </w:t>
      </w:r>
      <w:r w:rsidR="00F01017">
        <w:rPr>
          <w:rFonts w:ascii="Calibri" w:eastAsia="Times New Roman" w:hAnsi="Calibri" w:cs="Arial"/>
        </w:rPr>
        <w:t>has taken shape that sits at the nexus of liberal political economy and the regulation of one of the most sensitive matters of state sovereignty.</w:t>
      </w:r>
      <w:r w:rsidRPr="001215B9">
        <w:rPr>
          <w:rFonts w:ascii="Calibri" w:eastAsia="Times New Roman" w:hAnsi="Calibri" w:cs="Arial"/>
        </w:rPr>
        <w:t xml:space="preserve"> The door to this agenda was opened in 1995 with the inclusion of so-called “mode 4” mobility of natural persons in the General Agreement on Trade in Services</w:t>
      </w:r>
      <w:r w:rsidR="00CC0268">
        <w:rPr>
          <w:rFonts w:ascii="Calibri" w:eastAsia="Times New Roman" w:hAnsi="Calibri" w:cs="Arial"/>
        </w:rPr>
        <w:t xml:space="preserve"> (GATS)</w:t>
      </w:r>
      <w:r w:rsidRPr="001215B9">
        <w:rPr>
          <w:rFonts w:ascii="Calibri" w:eastAsia="Times New Roman" w:hAnsi="Calibri" w:cs="Arial"/>
        </w:rPr>
        <w:t xml:space="preserve"> of the WTO. Whereas current GATS mode 4 commitments are quite limited, </w:t>
      </w:r>
      <w:r w:rsidR="00F01017">
        <w:rPr>
          <w:rFonts w:ascii="Calibri" w:eastAsia="Times New Roman" w:hAnsi="Calibri" w:cs="Arial"/>
        </w:rPr>
        <w:t xml:space="preserve">this chapter shows that </w:t>
      </w:r>
      <w:r w:rsidRPr="001215B9">
        <w:rPr>
          <w:rFonts w:ascii="Calibri" w:eastAsia="Times New Roman" w:hAnsi="Calibri" w:cs="Arial"/>
        </w:rPr>
        <w:t>recent initiatives</w:t>
      </w:r>
      <w:r w:rsidR="00035AC9">
        <w:rPr>
          <w:rFonts w:ascii="Calibri" w:eastAsia="Times New Roman" w:hAnsi="Calibri" w:cs="Arial"/>
        </w:rPr>
        <w:t xml:space="preserve"> </w:t>
      </w:r>
      <w:r w:rsidRPr="001215B9">
        <w:rPr>
          <w:rFonts w:ascii="Calibri" w:eastAsia="Times New Roman" w:hAnsi="Calibri" w:cs="Arial"/>
        </w:rPr>
        <w:t xml:space="preserve">and </w:t>
      </w:r>
      <w:r w:rsidR="004F1DEC">
        <w:rPr>
          <w:rFonts w:ascii="Calibri" w:eastAsia="Times New Roman" w:hAnsi="Calibri" w:cs="Arial"/>
        </w:rPr>
        <w:t>particularly</w:t>
      </w:r>
      <w:r w:rsidRPr="001215B9">
        <w:rPr>
          <w:rFonts w:ascii="Calibri" w:eastAsia="Times New Roman" w:hAnsi="Calibri" w:cs="Arial"/>
        </w:rPr>
        <w:t xml:space="preserve"> regional and bilateral Free Trade Agreements</w:t>
      </w:r>
      <w:r w:rsidR="002A7A8E">
        <w:rPr>
          <w:rFonts w:ascii="Calibri" w:eastAsia="Times New Roman" w:hAnsi="Calibri" w:cs="Arial"/>
        </w:rPr>
        <w:t xml:space="preserve"> (FTAs)</w:t>
      </w:r>
      <w:r w:rsidRPr="001215B9">
        <w:rPr>
          <w:rFonts w:ascii="Calibri" w:eastAsia="Times New Roman" w:hAnsi="Calibri" w:cs="Arial"/>
        </w:rPr>
        <w:t xml:space="preserve"> gradual</w:t>
      </w:r>
      <w:r w:rsidR="00F01017">
        <w:rPr>
          <w:rFonts w:ascii="Calibri" w:eastAsia="Times New Roman" w:hAnsi="Calibri" w:cs="Arial"/>
        </w:rPr>
        <w:t>ly</w:t>
      </w:r>
      <w:r w:rsidRPr="001215B9">
        <w:rPr>
          <w:rFonts w:ascii="Calibri" w:eastAsia="Times New Roman" w:hAnsi="Calibri" w:cs="Arial"/>
        </w:rPr>
        <w:t xml:space="preserve"> expan</w:t>
      </w:r>
      <w:r w:rsidR="00F01017">
        <w:rPr>
          <w:rFonts w:ascii="Calibri" w:eastAsia="Times New Roman" w:hAnsi="Calibri" w:cs="Arial"/>
        </w:rPr>
        <w:t>d</w:t>
      </w:r>
      <w:r w:rsidRPr="001215B9">
        <w:rPr>
          <w:rFonts w:ascii="Calibri" w:eastAsia="Times New Roman" w:hAnsi="Calibri" w:cs="Arial"/>
        </w:rPr>
        <w:t xml:space="preserve"> these clauses</w:t>
      </w:r>
      <w:r w:rsidR="00F01017">
        <w:rPr>
          <w:rFonts w:ascii="Calibri" w:eastAsia="Times New Roman" w:hAnsi="Calibri" w:cs="Arial"/>
        </w:rPr>
        <w:t xml:space="preserve"> beyond the former trade hegemons' original intentions.</w:t>
      </w:r>
    </w:p>
    <w:p w14:paraId="7DC6F591" w14:textId="77777777" w:rsidR="008B3E38" w:rsidRPr="001215B9" w:rsidRDefault="008B3E38" w:rsidP="001215B9">
      <w:pPr>
        <w:spacing w:after="120" w:line="360" w:lineRule="auto"/>
        <w:jc w:val="both"/>
        <w:rPr>
          <w:rFonts w:ascii="Calibri" w:eastAsia="Times New Roman" w:hAnsi="Calibri" w:cs="Arial"/>
        </w:rPr>
      </w:pPr>
    </w:p>
    <w:p w14:paraId="54C7C9D0" w14:textId="77777777" w:rsidR="00334190" w:rsidRPr="001215B9" w:rsidRDefault="00334190" w:rsidP="001215B9">
      <w:pPr>
        <w:spacing w:after="120" w:line="360" w:lineRule="auto"/>
        <w:jc w:val="both"/>
        <w:rPr>
          <w:rFonts w:ascii="Calibri" w:hAnsi="Calibri"/>
          <w:b/>
        </w:rPr>
      </w:pPr>
      <w:r w:rsidRPr="001215B9">
        <w:rPr>
          <w:rFonts w:ascii="Calibri" w:hAnsi="Calibri"/>
          <w:b/>
        </w:rPr>
        <w:t>Introduction</w:t>
      </w:r>
    </w:p>
    <w:p w14:paraId="0F96206F" w14:textId="546C49F7" w:rsidR="00FA6C1B" w:rsidRPr="001215B9" w:rsidRDefault="00FA6C1B" w:rsidP="001215B9">
      <w:pPr>
        <w:spacing w:after="120" w:line="360" w:lineRule="auto"/>
        <w:jc w:val="both"/>
        <w:rPr>
          <w:rFonts w:ascii="Calibri" w:hAnsi="Calibri"/>
        </w:rPr>
      </w:pPr>
      <w:r w:rsidRPr="001215B9">
        <w:rPr>
          <w:rFonts w:ascii="Calibri" w:hAnsi="Calibri"/>
        </w:rPr>
        <w:t xml:space="preserve">Migration policy has hitherto not been a stronghold of global governance. In contrast to the flow of goods and finance, where states have established strong international </w:t>
      </w:r>
      <w:r w:rsidR="005C33B5">
        <w:rPr>
          <w:rFonts w:ascii="Calibri" w:hAnsi="Calibri"/>
        </w:rPr>
        <w:t>bodies</w:t>
      </w:r>
      <w:r w:rsidRPr="001215B9">
        <w:rPr>
          <w:rFonts w:ascii="Calibri" w:hAnsi="Calibri"/>
        </w:rPr>
        <w:t xml:space="preserve">, no parallel development has taken place </w:t>
      </w:r>
      <w:r w:rsidR="00D36E4E">
        <w:rPr>
          <w:rFonts w:ascii="Calibri" w:hAnsi="Calibri"/>
        </w:rPr>
        <w:t>for</w:t>
      </w:r>
      <w:r w:rsidRPr="001215B9">
        <w:rPr>
          <w:rFonts w:ascii="Calibri" w:hAnsi="Calibri"/>
        </w:rPr>
        <w:t xml:space="preserve"> the mobility of persons. </w:t>
      </w:r>
      <w:r w:rsidR="004273ED" w:rsidRPr="001215B9">
        <w:rPr>
          <w:rFonts w:ascii="Calibri" w:hAnsi="Calibri"/>
        </w:rPr>
        <w:t xml:space="preserve">Despite ample attempts at stronger cooperation </w:t>
      </w:r>
      <w:r w:rsidRPr="001215B9">
        <w:rPr>
          <w:rFonts w:ascii="Calibri" w:hAnsi="Calibri"/>
        </w:rPr>
        <w:t>“there is still no consensus on whether global governance is really required, what type of global governance would be appropriate, and how it should develop” (Newland 2010: 331). With the exception of the international regimes for labo</w:t>
      </w:r>
      <w:r w:rsidR="00B4248C">
        <w:rPr>
          <w:rFonts w:ascii="Calibri" w:hAnsi="Calibri"/>
        </w:rPr>
        <w:t>u</w:t>
      </w:r>
      <w:r w:rsidRPr="001215B9">
        <w:rPr>
          <w:rFonts w:ascii="Calibri" w:hAnsi="Calibri"/>
        </w:rPr>
        <w:t>r rights and refugees</w:t>
      </w:r>
      <w:r w:rsidR="00CC10A5">
        <w:rPr>
          <w:rFonts w:ascii="Calibri" w:hAnsi="Calibri"/>
        </w:rPr>
        <w:t xml:space="preserve"> established in </w:t>
      </w:r>
      <w:r w:rsidRPr="001215B9">
        <w:rPr>
          <w:rFonts w:ascii="Calibri" w:hAnsi="Calibri"/>
        </w:rPr>
        <w:t xml:space="preserve">the interwar period, states have been reluctant to agree on binding multilateral migration </w:t>
      </w:r>
      <w:r w:rsidR="009D20D1">
        <w:rPr>
          <w:rFonts w:ascii="Calibri" w:hAnsi="Calibri"/>
        </w:rPr>
        <w:t xml:space="preserve">norms </w:t>
      </w:r>
      <w:r w:rsidRPr="001215B9">
        <w:rPr>
          <w:rFonts w:ascii="Calibri" w:hAnsi="Calibri"/>
        </w:rPr>
        <w:t xml:space="preserve">(Betts 2011). </w:t>
      </w:r>
      <w:r w:rsidR="00CC10A5">
        <w:rPr>
          <w:rFonts w:ascii="Calibri" w:hAnsi="Calibri"/>
        </w:rPr>
        <w:t>I</w:t>
      </w:r>
      <w:r w:rsidR="004273ED" w:rsidRPr="001215B9">
        <w:rPr>
          <w:rFonts w:ascii="Calibri" w:hAnsi="Calibri"/>
        </w:rPr>
        <w:t xml:space="preserve">nternational cooperation has been addressed mainly by "soft" </w:t>
      </w:r>
      <w:r w:rsidR="00291A72">
        <w:rPr>
          <w:rFonts w:ascii="Calibri" w:hAnsi="Calibri"/>
        </w:rPr>
        <w:t>law</w:t>
      </w:r>
      <w:r w:rsidR="0095282B">
        <w:rPr>
          <w:rFonts w:ascii="Calibri" w:hAnsi="Calibri"/>
        </w:rPr>
        <w:t>,</w:t>
      </w:r>
      <w:r w:rsidR="00035AC9">
        <w:rPr>
          <w:rFonts w:ascii="Calibri" w:hAnsi="Calibri"/>
        </w:rPr>
        <w:t xml:space="preserve"> </w:t>
      </w:r>
      <w:r w:rsidR="004273ED" w:rsidRPr="001215B9">
        <w:rPr>
          <w:rFonts w:ascii="Calibri" w:hAnsi="Calibri"/>
        </w:rPr>
        <w:t>such as the Global Commission on International Migration, the UN High Level Dialogue on International Migration and Development and the Global Forum on Migration and Development.</w:t>
      </w:r>
    </w:p>
    <w:p w14:paraId="226F9AF9" w14:textId="77777777" w:rsidR="00902EE0" w:rsidRDefault="00531A0F" w:rsidP="001215B9">
      <w:pPr>
        <w:spacing w:after="120" w:line="360" w:lineRule="auto"/>
        <w:jc w:val="both"/>
        <w:rPr>
          <w:rFonts w:ascii="Calibri" w:hAnsi="Calibri"/>
        </w:rPr>
      </w:pPr>
      <w:r w:rsidRPr="001215B9">
        <w:rPr>
          <w:rFonts w:ascii="Calibri" w:hAnsi="Calibri"/>
        </w:rPr>
        <w:t>This reluctance towards international rules and coordination is however only one</w:t>
      </w:r>
      <w:r w:rsidR="009974A9">
        <w:rPr>
          <w:rFonts w:ascii="Calibri" w:hAnsi="Calibri"/>
        </w:rPr>
        <w:t>,</w:t>
      </w:r>
      <w:r w:rsidR="00035AC9">
        <w:rPr>
          <w:rFonts w:ascii="Calibri" w:hAnsi="Calibri"/>
        </w:rPr>
        <w:t xml:space="preserve"> </w:t>
      </w:r>
      <w:r w:rsidR="00A94EFE" w:rsidRPr="001215B9">
        <w:rPr>
          <w:rFonts w:ascii="Calibri" w:hAnsi="Calibri"/>
        </w:rPr>
        <w:t xml:space="preserve">even </w:t>
      </w:r>
      <w:r w:rsidRPr="001215B9">
        <w:rPr>
          <w:rFonts w:ascii="Calibri" w:hAnsi="Calibri"/>
        </w:rPr>
        <w:t xml:space="preserve">if perhaps the predominant side of the coin. </w:t>
      </w:r>
      <w:r w:rsidR="00251461">
        <w:rPr>
          <w:rFonts w:ascii="Calibri" w:hAnsi="Calibri"/>
        </w:rPr>
        <w:t>A</w:t>
      </w:r>
      <w:r w:rsidRPr="001215B9">
        <w:rPr>
          <w:rFonts w:ascii="Calibri" w:hAnsi="Calibri"/>
        </w:rPr>
        <w:t xml:space="preserve"> set of norms facilitating labour mobility has started to develop </w:t>
      </w:r>
      <w:r w:rsidR="007145CF" w:rsidRPr="001215B9">
        <w:rPr>
          <w:rFonts w:ascii="Calibri" w:hAnsi="Calibri"/>
        </w:rPr>
        <w:t xml:space="preserve">as part of </w:t>
      </w:r>
      <w:r w:rsidRPr="001215B9">
        <w:rPr>
          <w:rFonts w:ascii="Calibri" w:hAnsi="Calibri"/>
        </w:rPr>
        <w:t>trade agreements</w:t>
      </w:r>
      <w:r w:rsidR="007145CF" w:rsidRPr="001215B9">
        <w:rPr>
          <w:rFonts w:ascii="Calibri" w:hAnsi="Calibri"/>
        </w:rPr>
        <w:t xml:space="preserve">, </w:t>
      </w:r>
      <w:r w:rsidR="00251461">
        <w:rPr>
          <w:rFonts w:ascii="Calibri" w:hAnsi="Calibri"/>
        </w:rPr>
        <w:t>particularly</w:t>
      </w:r>
      <w:r w:rsidR="007145CF" w:rsidRPr="001215B9">
        <w:rPr>
          <w:rFonts w:ascii="Calibri" w:hAnsi="Calibri"/>
        </w:rPr>
        <w:t xml:space="preserve"> related to trade in services</w:t>
      </w:r>
      <w:r w:rsidRPr="001215B9">
        <w:rPr>
          <w:rFonts w:ascii="Calibri" w:hAnsi="Calibri"/>
        </w:rPr>
        <w:t xml:space="preserve">. Recognised as one essential </w:t>
      </w:r>
      <w:r w:rsidR="00A94EFE" w:rsidRPr="001215B9">
        <w:rPr>
          <w:rFonts w:ascii="Calibri" w:hAnsi="Calibri"/>
        </w:rPr>
        <w:t xml:space="preserve">mode </w:t>
      </w:r>
      <w:r w:rsidRPr="001215B9">
        <w:rPr>
          <w:rFonts w:ascii="Calibri" w:hAnsi="Calibri"/>
        </w:rPr>
        <w:t>o</w:t>
      </w:r>
      <w:r w:rsidR="00A94EFE" w:rsidRPr="001215B9">
        <w:rPr>
          <w:rFonts w:ascii="Calibri" w:hAnsi="Calibri"/>
        </w:rPr>
        <w:t>f</w:t>
      </w:r>
      <w:r w:rsidRPr="001215B9">
        <w:rPr>
          <w:rFonts w:ascii="Calibri" w:hAnsi="Calibri"/>
        </w:rPr>
        <w:t xml:space="preserve"> the cross-border trade in services, the temporary mobility of natural persons has become an essential element of newer trade agreements at the multilateral, plurilateral, regional and bilateral levels.</w:t>
      </w:r>
    </w:p>
    <w:p w14:paraId="0573B51D" w14:textId="3FDFD034" w:rsidR="00182785" w:rsidRPr="001215B9" w:rsidRDefault="00D47797" w:rsidP="001215B9">
      <w:pPr>
        <w:spacing w:after="120" w:line="360" w:lineRule="auto"/>
        <w:jc w:val="both"/>
        <w:rPr>
          <w:rFonts w:ascii="Calibri" w:hAnsi="Calibri"/>
        </w:rPr>
      </w:pPr>
      <w:r w:rsidRPr="00BE6093">
        <w:rPr>
          <w:rFonts w:ascii="Calibri" w:hAnsi="Calibri"/>
        </w:rPr>
        <w:t>This</w:t>
      </w:r>
      <w:r w:rsidR="003F4CE7" w:rsidRPr="00BE6093">
        <w:rPr>
          <w:rFonts w:ascii="Calibri" w:hAnsi="Calibri"/>
        </w:rPr>
        <w:t xml:space="preserve"> trade-related labour mobility </w:t>
      </w:r>
      <w:r w:rsidR="00534E11" w:rsidRPr="00BE6093">
        <w:rPr>
          <w:rFonts w:ascii="Calibri" w:hAnsi="Calibri"/>
        </w:rPr>
        <w:t xml:space="preserve">liberalisation </w:t>
      </w:r>
      <w:r w:rsidR="00182785" w:rsidRPr="00BE6093">
        <w:rPr>
          <w:rFonts w:ascii="Calibri" w:hAnsi="Calibri"/>
        </w:rPr>
        <w:t>find</w:t>
      </w:r>
      <w:r w:rsidRPr="00BE6093">
        <w:rPr>
          <w:rFonts w:ascii="Calibri" w:hAnsi="Calibri"/>
        </w:rPr>
        <w:t>s</w:t>
      </w:r>
      <w:r w:rsidR="003F4CE7" w:rsidRPr="00BE6093">
        <w:rPr>
          <w:rFonts w:ascii="Calibri" w:hAnsi="Calibri"/>
        </w:rPr>
        <w:t xml:space="preserve"> explanations in </w:t>
      </w:r>
      <w:r w:rsidR="00F15C18" w:rsidRPr="00BE6093">
        <w:rPr>
          <w:rFonts w:ascii="Calibri" w:hAnsi="Calibri"/>
        </w:rPr>
        <w:t xml:space="preserve">theories of globalization, </w:t>
      </w:r>
      <w:r w:rsidR="00F21650" w:rsidRPr="00BE6093">
        <w:rPr>
          <w:rFonts w:ascii="Calibri" w:hAnsi="Calibri"/>
        </w:rPr>
        <w:t xml:space="preserve">where </w:t>
      </w:r>
      <w:r w:rsidR="00182785" w:rsidRPr="00BE6093">
        <w:rPr>
          <w:rFonts w:ascii="Calibri" w:hAnsi="Calibri"/>
        </w:rPr>
        <w:t>greater international integration</w:t>
      </w:r>
      <w:r w:rsidR="00C24002" w:rsidRPr="00BE6093">
        <w:rPr>
          <w:rFonts w:ascii="Calibri" w:hAnsi="Calibri"/>
        </w:rPr>
        <w:t xml:space="preserve">, </w:t>
      </w:r>
      <w:r w:rsidR="00665D48" w:rsidRPr="00BE6093">
        <w:rPr>
          <w:rFonts w:ascii="Calibri" w:hAnsi="Calibri"/>
        </w:rPr>
        <w:t xml:space="preserve">economic </w:t>
      </w:r>
      <w:r w:rsidR="00C24002" w:rsidRPr="00BE6093">
        <w:rPr>
          <w:rFonts w:ascii="Calibri" w:hAnsi="Calibri"/>
        </w:rPr>
        <w:t>interdependence</w:t>
      </w:r>
      <w:r w:rsidR="00182785" w:rsidRPr="00BE6093">
        <w:rPr>
          <w:rFonts w:ascii="Calibri" w:hAnsi="Calibri"/>
        </w:rPr>
        <w:t xml:space="preserve"> and </w:t>
      </w:r>
      <w:r w:rsidR="00F15C18" w:rsidRPr="00BE6093">
        <w:rPr>
          <w:rFonts w:ascii="Calibri" w:hAnsi="Calibri"/>
        </w:rPr>
        <w:t xml:space="preserve">increases in trade </w:t>
      </w:r>
      <w:r w:rsidR="00182785" w:rsidRPr="00BE6093">
        <w:rPr>
          <w:rFonts w:ascii="Calibri" w:hAnsi="Calibri"/>
        </w:rPr>
        <w:t>flows</w:t>
      </w:r>
      <w:r w:rsidR="00F15C18" w:rsidRPr="00BE6093">
        <w:rPr>
          <w:rFonts w:ascii="Calibri" w:hAnsi="Calibri"/>
        </w:rPr>
        <w:t xml:space="preserve"> </w:t>
      </w:r>
      <w:r w:rsidR="00F21650" w:rsidRPr="00BE6093">
        <w:rPr>
          <w:rFonts w:ascii="Calibri" w:hAnsi="Calibri"/>
        </w:rPr>
        <w:t xml:space="preserve">have </w:t>
      </w:r>
      <w:r w:rsidR="00665D48" w:rsidRPr="00BE6093">
        <w:rPr>
          <w:rFonts w:ascii="Calibri" w:hAnsi="Calibri"/>
        </w:rPr>
        <w:t>all led to the formation of</w:t>
      </w:r>
      <w:r w:rsidR="00182785" w:rsidRPr="00BE6093">
        <w:rPr>
          <w:rFonts w:ascii="Calibri" w:hAnsi="Calibri"/>
        </w:rPr>
        <w:t xml:space="preserve"> </w:t>
      </w:r>
      <w:r w:rsidR="00F15C18" w:rsidRPr="00BE6093">
        <w:rPr>
          <w:rFonts w:ascii="Calibri" w:hAnsi="Calibri"/>
        </w:rPr>
        <w:t xml:space="preserve">the alleged </w:t>
      </w:r>
      <w:r w:rsidR="00182785" w:rsidRPr="00BE6093">
        <w:rPr>
          <w:rFonts w:ascii="Calibri" w:hAnsi="Calibri"/>
        </w:rPr>
        <w:t>“</w:t>
      </w:r>
      <w:r w:rsidR="00F15C18" w:rsidRPr="00BE6093">
        <w:rPr>
          <w:rFonts w:ascii="Calibri" w:hAnsi="Calibri"/>
        </w:rPr>
        <w:t>competition state</w:t>
      </w:r>
      <w:r w:rsidR="00182785" w:rsidRPr="00BE6093">
        <w:rPr>
          <w:rFonts w:ascii="Calibri" w:hAnsi="Calibri"/>
        </w:rPr>
        <w:t>”</w:t>
      </w:r>
      <w:r w:rsidR="00F15C18" w:rsidRPr="00BE6093">
        <w:rPr>
          <w:rFonts w:ascii="Calibri" w:hAnsi="Calibri"/>
        </w:rPr>
        <w:t xml:space="preserve"> (Cerny 1994</w:t>
      </w:r>
      <w:r w:rsidR="00182785" w:rsidRPr="00BE6093">
        <w:rPr>
          <w:rFonts w:ascii="Calibri" w:hAnsi="Calibri"/>
        </w:rPr>
        <w:t xml:space="preserve">). From this perspective, labour </w:t>
      </w:r>
      <w:r w:rsidR="004F4F76" w:rsidRPr="00BE6093">
        <w:rPr>
          <w:rFonts w:ascii="Calibri" w:hAnsi="Calibri"/>
        </w:rPr>
        <w:t xml:space="preserve">mobility </w:t>
      </w:r>
      <w:r w:rsidR="00182785" w:rsidRPr="00BE6093">
        <w:rPr>
          <w:rFonts w:ascii="Calibri" w:hAnsi="Calibri"/>
        </w:rPr>
        <w:t xml:space="preserve">is </w:t>
      </w:r>
      <w:r w:rsidR="004F4F76" w:rsidRPr="00BE6093">
        <w:rPr>
          <w:rFonts w:ascii="Calibri" w:hAnsi="Calibri"/>
        </w:rPr>
        <w:t>a</w:t>
      </w:r>
      <w:r w:rsidR="00182785" w:rsidRPr="00BE6093">
        <w:rPr>
          <w:rFonts w:ascii="Calibri" w:hAnsi="Calibri"/>
        </w:rPr>
        <w:t xml:space="preserve"> fact</w:t>
      </w:r>
      <w:r w:rsidR="000226F1" w:rsidRPr="00BE6093">
        <w:rPr>
          <w:rFonts w:ascii="Calibri" w:hAnsi="Calibri"/>
        </w:rPr>
        <w:t xml:space="preserve">or of production that has become commodified </w:t>
      </w:r>
      <w:r w:rsidR="00E352BF" w:rsidRPr="00BE6093">
        <w:rPr>
          <w:rFonts w:ascii="Calibri" w:hAnsi="Calibri"/>
        </w:rPr>
        <w:t>as part of economic transactions. Regulators have given suit to employers' demand for easing certain (primarily highly skilled) labour flows</w:t>
      </w:r>
      <w:r w:rsidR="00D35250" w:rsidRPr="00BE6093">
        <w:rPr>
          <w:rFonts w:ascii="Calibri" w:hAnsi="Calibri"/>
        </w:rPr>
        <w:t xml:space="preserve">. </w:t>
      </w:r>
      <w:r w:rsidR="00BE6093" w:rsidRPr="00BE6093">
        <w:rPr>
          <w:rFonts w:ascii="Calibri" w:hAnsi="Calibri"/>
        </w:rPr>
        <w:t xml:space="preserve">At the same </w:t>
      </w:r>
      <w:r w:rsidR="00BE6093" w:rsidRPr="00BE6093">
        <w:rPr>
          <w:rFonts w:ascii="Calibri" w:hAnsi="Calibri"/>
        </w:rPr>
        <w:lastRenderedPageBreak/>
        <w:t>time, t</w:t>
      </w:r>
      <w:r w:rsidR="00472B20" w:rsidRPr="00BE6093">
        <w:rPr>
          <w:rFonts w:ascii="Calibri" w:hAnsi="Calibri"/>
        </w:rPr>
        <w:t xml:space="preserve">his economic and liberalizing logic of the "competition state" fits uneasily with </w:t>
      </w:r>
      <w:r w:rsidR="00BE6093" w:rsidRPr="00BE6093">
        <w:rPr>
          <w:rFonts w:ascii="Calibri" w:hAnsi="Calibri"/>
        </w:rPr>
        <w:t>many states' concern to maintain their sovereignty over the intake of foreign nationals.</w:t>
      </w:r>
      <w:r w:rsidR="00E352BF" w:rsidRPr="00BE6093">
        <w:rPr>
          <w:rFonts w:ascii="Calibri" w:hAnsi="Calibri"/>
        </w:rPr>
        <w:t xml:space="preserve"> </w:t>
      </w:r>
    </w:p>
    <w:p w14:paraId="43075E9A" w14:textId="77777777" w:rsidR="00531A0F" w:rsidRPr="001215B9" w:rsidRDefault="00531A0F" w:rsidP="001215B9">
      <w:pPr>
        <w:spacing w:after="120" w:line="360" w:lineRule="auto"/>
        <w:jc w:val="both"/>
        <w:rPr>
          <w:rFonts w:ascii="Calibri" w:hAnsi="Calibri"/>
        </w:rPr>
      </w:pPr>
      <w:r w:rsidRPr="001215B9">
        <w:rPr>
          <w:rFonts w:ascii="Calibri" w:hAnsi="Calibri"/>
        </w:rPr>
        <w:t>In this chapter we retrace th</w:t>
      </w:r>
      <w:r w:rsidR="00B328F9">
        <w:rPr>
          <w:rFonts w:ascii="Calibri" w:hAnsi="Calibri"/>
        </w:rPr>
        <w:t>e</w:t>
      </w:r>
      <w:r w:rsidR="00247371">
        <w:rPr>
          <w:rFonts w:ascii="Calibri" w:hAnsi="Calibri"/>
        </w:rPr>
        <w:t xml:space="preserve"> </w:t>
      </w:r>
      <w:r w:rsidR="00251461">
        <w:rPr>
          <w:rFonts w:ascii="Calibri" w:hAnsi="Calibri"/>
        </w:rPr>
        <w:t xml:space="preserve">trade-migration </w:t>
      </w:r>
      <w:r w:rsidRPr="001215B9">
        <w:rPr>
          <w:rFonts w:ascii="Calibri" w:hAnsi="Calibri"/>
        </w:rPr>
        <w:t xml:space="preserve">nexus and discuss its diverse </w:t>
      </w:r>
      <w:r w:rsidR="009529E3">
        <w:rPr>
          <w:rFonts w:ascii="Calibri" w:hAnsi="Calibri"/>
        </w:rPr>
        <w:t>triggers</w:t>
      </w:r>
      <w:r w:rsidRPr="001215B9">
        <w:rPr>
          <w:rFonts w:ascii="Calibri" w:hAnsi="Calibri"/>
        </w:rPr>
        <w:t xml:space="preserve"> and </w:t>
      </w:r>
      <w:r w:rsidR="009529E3">
        <w:rPr>
          <w:rFonts w:ascii="Calibri" w:hAnsi="Calibri"/>
        </w:rPr>
        <w:t>restraint</w:t>
      </w:r>
      <w:r w:rsidR="009529E3" w:rsidRPr="001215B9">
        <w:rPr>
          <w:rFonts w:ascii="Calibri" w:hAnsi="Calibri"/>
        </w:rPr>
        <w:t xml:space="preserve">s </w:t>
      </w:r>
      <w:r w:rsidRPr="001215B9">
        <w:rPr>
          <w:rFonts w:ascii="Calibri" w:hAnsi="Calibri"/>
        </w:rPr>
        <w:t xml:space="preserve">in both established and emerging economies. The first </w:t>
      </w:r>
      <w:r w:rsidR="003874A1">
        <w:rPr>
          <w:rFonts w:ascii="Calibri" w:hAnsi="Calibri"/>
        </w:rPr>
        <w:t>part</w:t>
      </w:r>
      <w:r w:rsidR="00247371">
        <w:rPr>
          <w:rFonts w:ascii="Calibri" w:hAnsi="Calibri"/>
        </w:rPr>
        <w:t xml:space="preserve"> </w:t>
      </w:r>
      <w:r w:rsidRPr="001215B9">
        <w:rPr>
          <w:rFonts w:ascii="Calibri" w:hAnsi="Calibri"/>
        </w:rPr>
        <w:t xml:space="preserve">elucidates the </w:t>
      </w:r>
      <w:r w:rsidR="00513E2C" w:rsidRPr="001215B9">
        <w:rPr>
          <w:rFonts w:ascii="Calibri" w:hAnsi="Calibri"/>
        </w:rPr>
        <w:t xml:space="preserve">economic transformations that have sustained the entry of migration considerations in trade </w:t>
      </w:r>
      <w:r w:rsidR="007D67DE" w:rsidRPr="001215B9">
        <w:rPr>
          <w:rFonts w:ascii="Calibri" w:hAnsi="Calibri"/>
        </w:rPr>
        <w:t xml:space="preserve">affairs. The </w:t>
      </w:r>
      <w:r w:rsidR="004257A4">
        <w:rPr>
          <w:rFonts w:ascii="Calibri" w:hAnsi="Calibri"/>
        </w:rPr>
        <w:t xml:space="preserve">empirical evidence </w:t>
      </w:r>
      <w:r w:rsidR="007D67DE" w:rsidRPr="001215B9">
        <w:rPr>
          <w:rFonts w:ascii="Calibri" w:hAnsi="Calibri"/>
        </w:rPr>
        <w:t xml:space="preserve">is </w:t>
      </w:r>
      <w:r w:rsidR="004257A4">
        <w:rPr>
          <w:rFonts w:ascii="Calibri" w:hAnsi="Calibri"/>
        </w:rPr>
        <w:t>discussed</w:t>
      </w:r>
      <w:r w:rsidR="00247371">
        <w:rPr>
          <w:rFonts w:ascii="Calibri" w:hAnsi="Calibri"/>
        </w:rPr>
        <w:t xml:space="preserve"> </w:t>
      </w:r>
      <w:r w:rsidR="007D67DE" w:rsidRPr="001215B9">
        <w:rPr>
          <w:rFonts w:ascii="Calibri" w:hAnsi="Calibri"/>
        </w:rPr>
        <w:t xml:space="preserve">in section two. The chapter concludes on the tension between economic and political dynamics </w:t>
      </w:r>
      <w:r w:rsidR="007145CF" w:rsidRPr="001215B9">
        <w:rPr>
          <w:rFonts w:ascii="Calibri" w:hAnsi="Calibri"/>
        </w:rPr>
        <w:t xml:space="preserve">affecting the </w:t>
      </w:r>
      <w:r w:rsidR="007D67DE" w:rsidRPr="001215B9">
        <w:rPr>
          <w:rFonts w:ascii="Calibri" w:hAnsi="Calibri"/>
        </w:rPr>
        <w:t>regulation of migration flows through trade venues.</w:t>
      </w:r>
    </w:p>
    <w:p w14:paraId="0CC5033B" w14:textId="77777777" w:rsidR="007D67DE" w:rsidRPr="001215B9" w:rsidRDefault="007D67DE" w:rsidP="001215B9">
      <w:pPr>
        <w:spacing w:after="120" w:line="360" w:lineRule="auto"/>
        <w:jc w:val="both"/>
        <w:rPr>
          <w:rFonts w:ascii="Calibri" w:hAnsi="Calibri"/>
        </w:rPr>
      </w:pPr>
    </w:p>
    <w:p w14:paraId="7D199445" w14:textId="77777777" w:rsidR="007D67DE" w:rsidRPr="001215B9" w:rsidRDefault="007D67DE" w:rsidP="001215B9">
      <w:pPr>
        <w:spacing w:after="120" w:line="360" w:lineRule="auto"/>
        <w:jc w:val="both"/>
        <w:rPr>
          <w:rFonts w:ascii="Calibri" w:hAnsi="Calibri"/>
          <w:b/>
        </w:rPr>
      </w:pPr>
      <w:r w:rsidRPr="001215B9">
        <w:rPr>
          <w:rFonts w:ascii="Calibri" w:hAnsi="Calibri"/>
          <w:b/>
        </w:rPr>
        <w:t>The "trad</w:t>
      </w:r>
      <w:r w:rsidR="0002619E" w:rsidRPr="001215B9">
        <w:rPr>
          <w:rFonts w:ascii="Calibri" w:hAnsi="Calibri"/>
          <w:b/>
        </w:rPr>
        <w:t>e-</w:t>
      </w:r>
      <w:r w:rsidRPr="001215B9">
        <w:rPr>
          <w:rFonts w:ascii="Calibri" w:hAnsi="Calibri"/>
          <w:b/>
        </w:rPr>
        <w:t>ification" of migration flows</w:t>
      </w:r>
    </w:p>
    <w:p w14:paraId="595A10DA" w14:textId="30780DB5" w:rsidR="0002619E" w:rsidRPr="001215B9" w:rsidRDefault="007D19DC" w:rsidP="001215B9">
      <w:pPr>
        <w:spacing w:after="120" w:line="360" w:lineRule="auto"/>
        <w:jc w:val="both"/>
        <w:rPr>
          <w:rFonts w:ascii="Calibri" w:hAnsi="Calibri"/>
          <w:spacing w:val="-2"/>
        </w:rPr>
      </w:pPr>
      <w:r>
        <w:rPr>
          <w:rFonts w:ascii="Calibri" w:hAnsi="Calibri"/>
          <w:spacing w:val="-2"/>
        </w:rPr>
        <w:t>M</w:t>
      </w:r>
      <w:r w:rsidR="00235240" w:rsidRPr="001215B9">
        <w:rPr>
          <w:rFonts w:ascii="Calibri" w:hAnsi="Calibri"/>
          <w:spacing w:val="-2"/>
        </w:rPr>
        <w:t>igration, as the cross-border flow of people, constitutes the mobility of one factor of production amongst others.</w:t>
      </w:r>
      <w:r w:rsidR="00127D87" w:rsidRPr="001215B9">
        <w:rPr>
          <w:rFonts w:ascii="Calibri" w:hAnsi="Calibri"/>
          <w:spacing w:val="-2"/>
        </w:rPr>
        <w:t xml:space="preserve"> The European integration project has included this factor from the start, counting the mobility of workers (later 'people') together with capital, goods and services as </w:t>
      </w:r>
      <w:r w:rsidR="008F25F9">
        <w:rPr>
          <w:rFonts w:ascii="Calibri" w:hAnsi="Calibri"/>
          <w:spacing w:val="-2"/>
        </w:rPr>
        <w:t xml:space="preserve">one </w:t>
      </w:r>
      <w:r w:rsidR="00127D87" w:rsidRPr="001215B9">
        <w:rPr>
          <w:rFonts w:ascii="Calibri" w:hAnsi="Calibri"/>
          <w:spacing w:val="-2"/>
        </w:rPr>
        <w:t>fundamental freedom of the single market. At the global level, this agenda is linked to two main developments:</w:t>
      </w:r>
      <w:r w:rsidR="00F262D1">
        <w:rPr>
          <w:rFonts w:ascii="Calibri" w:hAnsi="Calibri"/>
          <w:spacing w:val="-2"/>
        </w:rPr>
        <w:t xml:space="preserve"> the new wave of trade liberalis</w:t>
      </w:r>
      <w:r w:rsidR="00127D87" w:rsidRPr="001215B9">
        <w:rPr>
          <w:rFonts w:ascii="Calibri" w:hAnsi="Calibri"/>
          <w:spacing w:val="-2"/>
        </w:rPr>
        <w:t>ation associated with the (neoliberal) 'competition state' (</w:t>
      </w:r>
      <w:r w:rsidR="00601EBF">
        <w:rPr>
          <w:rFonts w:ascii="Calibri" w:hAnsi="Calibri"/>
          <w:spacing w:val="-2"/>
        </w:rPr>
        <w:t>C</w:t>
      </w:r>
      <w:r w:rsidR="00601EBF" w:rsidRPr="001215B9">
        <w:rPr>
          <w:rFonts w:ascii="Calibri" w:hAnsi="Calibri"/>
          <w:spacing w:val="-2"/>
        </w:rPr>
        <w:t>erny</w:t>
      </w:r>
      <w:r w:rsidR="00127D87" w:rsidRPr="001215B9">
        <w:rPr>
          <w:rFonts w:ascii="Calibri" w:hAnsi="Calibri"/>
          <w:spacing w:val="-2"/>
        </w:rPr>
        <w:t xml:space="preserve"> 1994) and the rise of the service sector.</w:t>
      </w:r>
      <w:r w:rsidR="001F2640" w:rsidRPr="001215B9">
        <w:rPr>
          <w:rFonts w:ascii="Calibri" w:hAnsi="Calibri"/>
          <w:spacing w:val="-2"/>
        </w:rPr>
        <w:t xml:space="preserve"> In developing and emerging countries, the transition to service economies has not (yet) occurred. </w:t>
      </w:r>
      <w:r w:rsidR="00F01017">
        <w:rPr>
          <w:rFonts w:ascii="Calibri" w:hAnsi="Calibri"/>
          <w:spacing w:val="-2"/>
        </w:rPr>
        <w:t>Nevertheless</w:t>
      </w:r>
      <w:r w:rsidR="001F2640" w:rsidRPr="001215B9">
        <w:rPr>
          <w:rFonts w:ascii="Calibri" w:hAnsi="Calibri"/>
          <w:spacing w:val="-2"/>
        </w:rPr>
        <w:t>, these countries have strongly embraced the trade-mobility agenda</w:t>
      </w:r>
      <w:r w:rsidR="00B71C20">
        <w:rPr>
          <w:rFonts w:ascii="Calibri" w:hAnsi="Calibri"/>
          <w:spacing w:val="-2"/>
        </w:rPr>
        <w:t xml:space="preserve"> – </w:t>
      </w:r>
      <w:r w:rsidR="00207408" w:rsidRPr="001215B9">
        <w:rPr>
          <w:rFonts w:ascii="Calibri" w:hAnsi="Calibri"/>
          <w:spacing w:val="-2"/>
        </w:rPr>
        <w:t xml:space="preserve">promoting it further </w:t>
      </w:r>
      <w:r w:rsidR="00305CF1" w:rsidRPr="001215B9">
        <w:rPr>
          <w:rFonts w:ascii="Calibri" w:hAnsi="Calibri"/>
          <w:spacing w:val="-2"/>
        </w:rPr>
        <w:t xml:space="preserve">and in a somewhat different direction </w:t>
      </w:r>
      <w:r w:rsidR="00207408" w:rsidRPr="001215B9">
        <w:rPr>
          <w:rFonts w:ascii="Calibri" w:hAnsi="Calibri"/>
          <w:spacing w:val="-2"/>
        </w:rPr>
        <w:t>than what the limited openings agreed by the developed countries originally intended</w:t>
      </w:r>
      <w:r w:rsidR="001F2640" w:rsidRPr="001215B9">
        <w:rPr>
          <w:rFonts w:ascii="Calibri" w:hAnsi="Calibri"/>
          <w:spacing w:val="-2"/>
        </w:rPr>
        <w:t>.</w:t>
      </w:r>
    </w:p>
    <w:p w14:paraId="6F4569B6" w14:textId="77777777" w:rsidR="006279C4" w:rsidRDefault="006279C4" w:rsidP="001215B9">
      <w:pPr>
        <w:spacing w:after="120" w:line="360" w:lineRule="auto"/>
        <w:jc w:val="both"/>
        <w:rPr>
          <w:rFonts w:ascii="Calibri" w:hAnsi="Calibri"/>
          <w:i/>
          <w:spacing w:val="-2"/>
        </w:rPr>
      </w:pPr>
    </w:p>
    <w:p w14:paraId="54F5683F" w14:textId="77777777" w:rsidR="008311E6" w:rsidRPr="001215B9" w:rsidRDefault="008311E6" w:rsidP="001215B9">
      <w:pPr>
        <w:spacing w:after="120" w:line="360" w:lineRule="auto"/>
        <w:jc w:val="both"/>
        <w:rPr>
          <w:rFonts w:ascii="Calibri" w:hAnsi="Calibri"/>
          <w:i/>
          <w:spacing w:val="-2"/>
        </w:rPr>
      </w:pPr>
      <w:r w:rsidRPr="001215B9">
        <w:rPr>
          <w:rFonts w:ascii="Calibri" w:hAnsi="Calibri"/>
          <w:i/>
          <w:spacing w:val="-2"/>
        </w:rPr>
        <w:t>The competition state</w:t>
      </w:r>
    </w:p>
    <w:p w14:paraId="65AD1FE9" w14:textId="4C2A6CCD" w:rsidR="008B3E38" w:rsidRPr="001215B9" w:rsidRDefault="001C493C" w:rsidP="001215B9">
      <w:pPr>
        <w:spacing w:after="120" w:line="360" w:lineRule="auto"/>
        <w:jc w:val="both"/>
        <w:rPr>
          <w:rFonts w:ascii="Calibri" w:hAnsi="Calibri"/>
        </w:rPr>
      </w:pPr>
      <w:r w:rsidRPr="001215B9">
        <w:rPr>
          <w:rFonts w:ascii="Calibri" w:hAnsi="Calibri"/>
          <w:spacing w:val="-2"/>
        </w:rPr>
        <w:t xml:space="preserve">The notion of the competition state has been coined to characterize the transformation </w:t>
      </w:r>
      <w:r w:rsidR="008B3E38" w:rsidRPr="001215B9">
        <w:rPr>
          <w:rFonts w:ascii="Calibri" w:hAnsi="Calibri"/>
        </w:rPr>
        <w:t>of</w:t>
      </w:r>
      <w:r w:rsidR="00247371">
        <w:rPr>
          <w:rFonts w:ascii="Calibri" w:hAnsi="Calibri"/>
        </w:rPr>
        <w:t xml:space="preserve"> </w:t>
      </w:r>
      <w:r w:rsidR="008B3E38" w:rsidRPr="001215B9">
        <w:rPr>
          <w:rFonts w:ascii="Calibri" w:hAnsi="Calibri"/>
          <w:spacing w:val="-1"/>
        </w:rPr>
        <w:t>the</w:t>
      </w:r>
      <w:r w:rsidR="00247371">
        <w:rPr>
          <w:rFonts w:ascii="Calibri" w:hAnsi="Calibri"/>
          <w:spacing w:val="-1"/>
        </w:rPr>
        <w:t xml:space="preserve"> </w:t>
      </w:r>
      <w:r w:rsidR="008B3E38" w:rsidRPr="001215B9">
        <w:rPr>
          <w:rFonts w:ascii="Calibri" w:hAnsi="Calibri"/>
        </w:rPr>
        <w:t>state</w:t>
      </w:r>
      <w:r w:rsidR="00247371">
        <w:rPr>
          <w:rFonts w:ascii="Calibri" w:hAnsi="Calibri"/>
        </w:rPr>
        <w:t xml:space="preserve"> </w:t>
      </w:r>
      <w:r w:rsidR="008B3E38" w:rsidRPr="001215B9">
        <w:rPr>
          <w:rFonts w:ascii="Calibri" w:hAnsi="Calibri"/>
          <w:spacing w:val="-1"/>
        </w:rPr>
        <w:t>from</w:t>
      </w:r>
      <w:r w:rsidR="00247371">
        <w:rPr>
          <w:rFonts w:ascii="Calibri" w:hAnsi="Calibri"/>
          <w:spacing w:val="-1"/>
        </w:rPr>
        <w:t xml:space="preserve"> </w:t>
      </w:r>
      <w:r w:rsidR="006279C4">
        <w:rPr>
          <w:rFonts w:ascii="Calibri" w:hAnsi="Calibri"/>
          <w:spacing w:val="-1"/>
        </w:rPr>
        <w:t>the</w:t>
      </w:r>
      <w:r w:rsidR="00247371">
        <w:rPr>
          <w:rFonts w:ascii="Calibri" w:hAnsi="Calibri"/>
          <w:spacing w:val="-1"/>
        </w:rPr>
        <w:t xml:space="preserve"> </w:t>
      </w:r>
      <w:r w:rsidR="008B3E38" w:rsidRPr="001215B9">
        <w:rPr>
          <w:rFonts w:ascii="Calibri" w:hAnsi="Calibri"/>
          <w:spacing w:val="-1"/>
        </w:rPr>
        <w:t>Second</w:t>
      </w:r>
      <w:r w:rsidR="00247371">
        <w:rPr>
          <w:rFonts w:ascii="Calibri" w:hAnsi="Calibri"/>
          <w:spacing w:val="-1"/>
        </w:rPr>
        <w:t xml:space="preserve"> </w:t>
      </w:r>
      <w:r w:rsidR="008B3E38" w:rsidRPr="001215B9">
        <w:rPr>
          <w:rFonts w:ascii="Calibri" w:hAnsi="Calibri"/>
          <w:spacing w:val="-1"/>
        </w:rPr>
        <w:t>Industrial</w:t>
      </w:r>
      <w:r w:rsidR="00247371">
        <w:rPr>
          <w:rFonts w:ascii="Calibri" w:hAnsi="Calibri"/>
          <w:spacing w:val="-1"/>
        </w:rPr>
        <w:t xml:space="preserve"> </w:t>
      </w:r>
      <w:r w:rsidR="008B3E38" w:rsidRPr="001215B9">
        <w:rPr>
          <w:rFonts w:ascii="Calibri" w:hAnsi="Calibri"/>
          <w:spacing w:val="-1"/>
        </w:rPr>
        <w:t>Revolution</w:t>
      </w:r>
      <w:r w:rsidR="00247371">
        <w:rPr>
          <w:rFonts w:ascii="Calibri" w:hAnsi="Calibri"/>
          <w:spacing w:val="-1"/>
        </w:rPr>
        <w:t xml:space="preserve"> </w:t>
      </w:r>
      <w:r w:rsidR="00CB0608" w:rsidRPr="001215B9">
        <w:rPr>
          <w:rFonts w:ascii="Calibri" w:hAnsi="Calibri"/>
          <w:spacing w:val="-1"/>
        </w:rPr>
        <w:t>welfare</w:t>
      </w:r>
      <w:r w:rsidR="00CB0608">
        <w:rPr>
          <w:rFonts w:ascii="Calibri" w:hAnsi="Calibri"/>
          <w:spacing w:val="-1"/>
        </w:rPr>
        <w:t xml:space="preserve"> system</w:t>
      </w:r>
      <w:r w:rsidR="00247371">
        <w:rPr>
          <w:rFonts w:ascii="Calibri" w:hAnsi="Calibri"/>
          <w:spacing w:val="-1"/>
        </w:rPr>
        <w:t xml:space="preserve"> </w:t>
      </w:r>
      <w:r w:rsidR="008B3E38" w:rsidRPr="001215B9">
        <w:rPr>
          <w:rFonts w:ascii="Calibri" w:hAnsi="Calibri"/>
          <w:spacing w:val="-1"/>
        </w:rPr>
        <w:t>to</w:t>
      </w:r>
      <w:r w:rsidR="00247371">
        <w:rPr>
          <w:rFonts w:ascii="Calibri" w:hAnsi="Calibri"/>
          <w:spacing w:val="-1"/>
        </w:rPr>
        <w:t xml:space="preserve"> </w:t>
      </w:r>
      <w:r w:rsidRPr="001215B9">
        <w:rPr>
          <w:rFonts w:ascii="Calibri" w:hAnsi="Calibri"/>
        </w:rPr>
        <w:t>the</w:t>
      </w:r>
      <w:r w:rsidR="00247371">
        <w:rPr>
          <w:rFonts w:ascii="Calibri" w:hAnsi="Calibri"/>
        </w:rPr>
        <w:t xml:space="preserve"> </w:t>
      </w:r>
      <w:r w:rsidR="008B3E38" w:rsidRPr="001215B9">
        <w:rPr>
          <w:rFonts w:ascii="Calibri" w:hAnsi="Calibri"/>
          <w:spacing w:val="-1"/>
        </w:rPr>
        <w:t>neoliberal</w:t>
      </w:r>
      <w:r w:rsidR="00247371">
        <w:rPr>
          <w:rFonts w:ascii="Calibri" w:hAnsi="Calibri"/>
          <w:spacing w:val="-1"/>
        </w:rPr>
        <w:t xml:space="preserve"> </w:t>
      </w:r>
      <w:r w:rsidRPr="001215B9">
        <w:rPr>
          <w:rFonts w:ascii="Calibri" w:hAnsi="Calibri"/>
          <w:spacing w:val="-1"/>
        </w:rPr>
        <w:t>trading state of the 1980s</w:t>
      </w:r>
      <w:r w:rsidR="001446E4">
        <w:rPr>
          <w:rFonts w:ascii="Calibri" w:hAnsi="Calibri"/>
          <w:spacing w:val="-1"/>
        </w:rPr>
        <w:t>-</w:t>
      </w:r>
      <w:r w:rsidRPr="001215B9">
        <w:rPr>
          <w:rFonts w:ascii="Calibri" w:hAnsi="Calibri"/>
          <w:spacing w:val="-1"/>
        </w:rPr>
        <w:t xml:space="preserve">1990s </w:t>
      </w:r>
      <w:r w:rsidR="008B3E38" w:rsidRPr="001215B9">
        <w:rPr>
          <w:rFonts w:ascii="Calibri" w:hAnsi="Calibri"/>
        </w:rPr>
        <w:t>(Cerny</w:t>
      </w:r>
      <w:r w:rsidR="005A4F3D">
        <w:rPr>
          <w:rFonts w:ascii="Calibri" w:hAnsi="Calibri"/>
        </w:rPr>
        <w:t xml:space="preserve"> </w:t>
      </w:r>
      <w:r w:rsidR="008B3E38" w:rsidRPr="001215B9">
        <w:rPr>
          <w:rFonts w:ascii="Calibri" w:hAnsi="Calibri"/>
          <w:spacing w:val="-1"/>
        </w:rPr>
        <w:t>1994).</w:t>
      </w:r>
      <w:r w:rsidR="00247371">
        <w:rPr>
          <w:rFonts w:ascii="Calibri" w:hAnsi="Calibri"/>
          <w:spacing w:val="-1"/>
        </w:rPr>
        <w:t xml:space="preserve"> </w:t>
      </w:r>
      <w:r w:rsidR="000A5885" w:rsidRPr="001215B9">
        <w:rPr>
          <w:rFonts w:ascii="Calibri" w:hAnsi="Calibri"/>
          <w:spacing w:val="-1"/>
        </w:rPr>
        <w:t>In th</w:t>
      </w:r>
      <w:r w:rsidR="00F01017">
        <w:rPr>
          <w:rFonts w:ascii="Calibri" w:hAnsi="Calibri"/>
          <w:spacing w:val="-1"/>
        </w:rPr>
        <w:t>is</w:t>
      </w:r>
      <w:r w:rsidR="000A5885" w:rsidRPr="001215B9">
        <w:rPr>
          <w:rFonts w:ascii="Calibri" w:hAnsi="Calibri"/>
          <w:spacing w:val="-1"/>
        </w:rPr>
        <w:t xml:space="preserve"> perspective </w:t>
      </w:r>
      <w:r w:rsidR="000A5885" w:rsidRPr="001215B9">
        <w:rPr>
          <w:rFonts w:ascii="Calibri" w:hAnsi="Calibri"/>
        </w:rPr>
        <w:t>"the</w:t>
      </w:r>
      <w:r w:rsidR="00247371">
        <w:rPr>
          <w:rFonts w:ascii="Calibri" w:hAnsi="Calibri"/>
        </w:rPr>
        <w:t xml:space="preserve"> </w:t>
      </w:r>
      <w:r w:rsidR="000A5885" w:rsidRPr="001215B9">
        <w:rPr>
          <w:rFonts w:ascii="Calibri" w:hAnsi="Calibri"/>
          <w:spacing w:val="-1"/>
        </w:rPr>
        <w:t>main</w:t>
      </w:r>
      <w:r w:rsidR="00247371">
        <w:rPr>
          <w:rFonts w:ascii="Calibri" w:hAnsi="Calibri"/>
          <w:spacing w:val="-1"/>
        </w:rPr>
        <w:t xml:space="preserve"> </w:t>
      </w:r>
      <w:r w:rsidR="000A5885" w:rsidRPr="001215B9">
        <w:rPr>
          <w:rFonts w:ascii="Calibri" w:hAnsi="Calibri"/>
          <w:spacing w:val="-1"/>
        </w:rPr>
        <w:t>function</w:t>
      </w:r>
      <w:r w:rsidR="00247371">
        <w:rPr>
          <w:rFonts w:ascii="Calibri" w:hAnsi="Calibri"/>
          <w:spacing w:val="-1"/>
        </w:rPr>
        <w:t xml:space="preserve"> </w:t>
      </w:r>
      <w:r w:rsidR="000A5885" w:rsidRPr="001215B9">
        <w:rPr>
          <w:rFonts w:ascii="Calibri" w:hAnsi="Calibri"/>
        </w:rPr>
        <w:t>of</w:t>
      </w:r>
      <w:r w:rsidR="00247371">
        <w:rPr>
          <w:rFonts w:ascii="Calibri" w:hAnsi="Calibri"/>
        </w:rPr>
        <w:t xml:space="preserve"> </w:t>
      </w:r>
      <w:r w:rsidR="000A5885" w:rsidRPr="001215B9">
        <w:rPr>
          <w:rFonts w:ascii="Calibri" w:hAnsi="Calibri"/>
        </w:rPr>
        <w:t>the</w:t>
      </w:r>
      <w:r w:rsidR="00247371">
        <w:rPr>
          <w:rFonts w:ascii="Calibri" w:hAnsi="Calibri"/>
        </w:rPr>
        <w:t xml:space="preserve"> </w:t>
      </w:r>
      <w:r w:rsidR="000A5885" w:rsidRPr="001215B9">
        <w:rPr>
          <w:rFonts w:ascii="Calibri" w:hAnsi="Calibri"/>
        </w:rPr>
        <w:t>contemporary</w:t>
      </w:r>
      <w:r w:rsidR="00247371">
        <w:rPr>
          <w:rFonts w:ascii="Calibri" w:hAnsi="Calibri"/>
        </w:rPr>
        <w:t xml:space="preserve"> </w:t>
      </w:r>
      <w:r w:rsidR="000A5885" w:rsidRPr="001215B9">
        <w:rPr>
          <w:rFonts w:ascii="Calibri" w:hAnsi="Calibri"/>
        </w:rPr>
        <w:t>state</w:t>
      </w:r>
      <w:r w:rsidR="00247371">
        <w:rPr>
          <w:rFonts w:ascii="Calibri" w:hAnsi="Calibri"/>
        </w:rPr>
        <w:t xml:space="preserve"> </w:t>
      </w:r>
      <w:r w:rsidR="000A5885" w:rsidRPr="001215B9">
        <w:rPr>
          <w:rFonts w:ascii="Calibri" w:hAnsi="Calibri"/>
          <w:spacing w:val="-1"/>
        </w:rPr>
        <w:t>is</w:t>
      </w:r>
      <w:r w:rsidR="00247371">
        <w:rPr>
          <w:rFonts w:ascii="Calibri" w:hAnsi="Calibri"/>
          <w:spacing w:val="-1"/>
        </w:rPr>
        <w:t xml:space="preserve"> </w:t>
      </w:r>
      <w:r w:rsidR="000A5885" w:rsidRPr="001215B9">
        <w:rPr>
          <w:rFonts w:ascii="Calibri" w:hAnsi="Calibri"/>
          <w:spacing w:val="-1"/>
        </w:rPr>
        <w:t>the</w:t>
      </w:r>
      <w:r w:rsidR="00247371">
        <w:rPr>
          <w:rFonts w:ascii="Calibri" w:hAnsi="Calibri"/>
          <w:spacing w:val="-1"/>
        </w:rPr>
        <w:t xml:space="preserve"> </w:t>
      </w:r>
      <w:r w:rsidR="000A5885" w:rsidRPr="001215B9">
        <w:rPr>
          <w:rFonts w:ascii="Calibri" w:hAnsi="Calibri"/>
          <w:spacing w:val="-1"/>
        </w:rPr>
        <w:t>promotion</w:t>
      </w:r>
      <w:r w:rsidR="00247371">
        <w:rPr>
          <w:rFonts w:ascii="Calibri" w:hAnsi="Calibri"/>
          <w:spacing w:val="-1"/>
        </w:rPr>
        <w:t xml:space="preserve"> </w:t>
      </w:r>
      <w:r w:rsidR="000A5885" w:rsidRPr="001215B9">
        <w:rPr>
          <w:rFonts w:ascii="Calibri" w:hAnsi="Calibri"/>
          <w:spacing w:val="-1"/>
        </w:rPr>
        <w:t>of</w:t>
      </w:r>
      <w:r w:rsidR="00247371">
        <w:rPr>
          <w:rFonts w:ascii="Calibri" w:hAnsi="Calibri"/>
          <w:spacing w:val="-1"/>
        </w:rPr>
        <w:t xml:space="preserve"> </w:t>
      </w:r>
      <w:r w:rsidR="000A5885" w:rsidRPr="001215B9">
        <w:rPr>
          <w:rFonts w:ascii="Calibri" w:hAnsi="Calibri"/>
          <w:spacing w:val="-1"/>
        </w:rPr>
        <w:t>economic</w:t>
      </w:r>
      <w:r w:rsidR="00247371">
        <w:rPr>
          <w:rFonts w:ascii="Calibri" w:hAnsi="Calibri"/>
          <w:spacing w:val="-1"/>
        </w:rPr>
        <w:t xml:space="preserve"> </w:t>
      </w:r>
      <w:r w:rsidR="000A5885" w:rsidRPr="001215B9">
        <w:rPr>
          <w:rFonts w:ascii="Calibri" w:hAnsi="Calibri"/>
          <w:spacing w:val="-1"/>
        </w:rPr>
        <w:t>activities,</w:t>
      </w:r>
      <w:r w:rsidR="00247371">
        <w:rPr>
          <w:rFonts w:ascii="Calibri" w:hAnsi="Calibri"/>
          <w:spacing w:val="-1"/>
        </w:rPr>
        <w:t xml:space="preserve"> </w:t>
      </w:r>
      <w:r w:rsidR="000A5885" w:rsidRPr="001215B9">
        <w:rPr>
          <w:rFonts w:ascii="Calibri" w:hAnsi="Calibri"/>
          <w:spacing w:val="-1"/>
        </w:rPr>
        <w:t>whether</w:t>
      </w:r>
      <w:r w:rsidR="00247371">
        <w:rPr>
          <w:rFonts w:ascii="Calibri" w:hAnsi="Calibri"/>
          <w:spacing w:val="-1"/>
        </w:rPr>
        <w:t xml:space="preserve"> </w:t>
      </w:r>
      <w:r w:rsidR="000A5885" w:rsidRPr="001215B9">
        <w:rPr>
          <w:rFonts w:ascii="Calibri" w:hAnsi="Calibri"/>
          <w:spacing w:val="-1"/>
        </w:rPr>
        <w:t>at</w:t>
      </w:r>
      <w:r w:rsidR="00247371">
        <w:rPr>
          <w:rFonts w:ascii="Calibri" w:hAnsi="Calibri"/>
          <w:spacing w:val="-1"/>
        </w:rPr>
        <w:t xml:space="preserve"> </w:t>
      </w:r>
      <w:r w:rsidR="000A5885" w:rsidRPr="001215B9">
        <w:rPr>
          <w:rFonts w:ascii="Calibri" w:hAnsi="Calibri"/>
          <w:spacing w:val="-1"/>
        </w:rPr>
        <w:t>home</w:t>
      </w:r>
      <w:r w:rsidR="00247371">
        <w:rPr>
          <w:rFonts w:ascii="Calibri" w:hAnsi="Calibri"/>
          <w:spacing w:val="-1"/>
        </w:rPr>
        <w:t xml:space="preserve"> </w:t>
      </w:r>
      <w:r w:rsidR="000A5885" w:rsidRPr="001215B9">
        <w:rPr>
          <w:rFonts w:ascii="Calibri" w:hAnsi="Calibri"/>
        </w:rPr>
        <w:t>or</w:t>
      </w:r>
      <w:r w:rsidR="00247371">
        <w:rPr>
          <w:rFonts w:ascii="Calibri" w:hAnsi="Calibri"/>
        </w:rPr>
        <w:t xml:space="preserve"> </w:t>
      </w:r>
      <w:r w:rsidR="000A5885" w:rsidRPr="001215B9">
        <w:rPr>
          <w:rFonts w:ascii="Calibri" w:hAnsi="Calibri"/>
          <w:spacing w:val="-1"/>
        </w:rPr>
        <w:t>abroad,</w:t>
      </w:r>
      <w:r w:rsidR="00247371">
        <w:rPr>
          <w:rFonts w:ascii="Calibri" w:hAnsi="Calibri"/>
          <w:spacing w:val="-1"/>
        </w:rPr>
        <w:t xml:space="preserve"> </w:t>
      </w:r>
      <w:r w:rsidR="000A5885" w:rsidRPr="001215B9">
        <w:rPr>
          <w:rFonts w:ascii="Calibri" w:hAnsi="Calibri"/>
          <w:spacing w:val="-1"/>
        </w:rPr>
        <w:t>which</w:t>
      </w:r>
      <w:r w:rsidR="00247371">
        <w:rPr>
          <w:rFonts w:ascii="Calibri" w:hAnsi="Calibri"/>
          <w:spacing w:val="-1"/>
        </w:rPr>
        <w:t xml:space="preserve"> </w:t>
      </w:r>
      <w:r w:rsidR="000A5885" w:rsidRPr="001215B9">
        <w:rPr>
          <w:rFonts w:ascii="Calibri" w:hAnsi="Calibri"/>
          <w:spacing w:val="-1"/>
        </w:rPr>
        <w:t>make</w:t>
      </w:r>
      <w:r w:rsidR="00247371">
        <w:rPr>
          <w:rFonts w:ascii="Calibri" w:hAnsi="Calibri"/>
          <w:spacing w:val="-1"/>
        </w:rPr>
        <w:t xml:space="preserve"> </w:t>
      </w:r>
      <w:r w:rsidR="000A5885" w:rsidRPr="001215B9">
        <w:rPr>
          <w:rFonts w:ascii="Calibri" w:hAnsi="Calibri"/>
          <w:spacing w:val="-1"/>
        </w:rPr>
        <w:t>firms</w:t>
      </w:r>
      <w:r w:rsidR="00247371">
        <w:rPr>
          <w:rFonts w:ascii="Calibri" w:hAnsi="Calibri"/>
          <w:spacing w:val="-1"/>
        </w:rPr>
        <w:t xml:space="preserve"> </w:t>
      </w:r>
      <w:r w:rsidR="000A5885" w:rsidRPr="001215B9">
        <w:rPr>
          <w:rFonts w:ascii="Calibri" w:hAnsi="Calibri"/>
          <w:spacing w:val="-1"/>
        </w:rPr>
        <w:t>and</w:t>
      </w:r>
      <w:r w:rsidR="00247371">
        <w:rPr>
          <w:rFonts w:ascii="Calibri" w:hAnsi="Calibri"/>
          <w:spacing w:val="-1"/>
        </w:rPr>
        <w:t xml:space="preserve"> </w:t>
      </w:r>
      <w:r w:rsidR="000A5885" w:rsidRPr="001215B9">
        <w:rPr>
          <w:rFonts w:ascii="Calibri" w:hAnsi="Calibri"/>
          <w:spacing w:val="-1"/>
        </w:rPr>
        <w:t>sectors</w:t>
      </w:r>
      <w:r w:rsidR="00247371">
        <w:rPr>
          <w:rFonts w:ascii="Calibri" w:hAnsi="Calibri"/>
          <w:spacing w:val="-1"/>
        </w:rPr>
        <w:t xml:space="preserve"> </w:t>
      </w:r>
      <w:r w:rsidR="000A5885" w:rsidRPr="001215B9">
        <w:rPr>
          <w:rFonts w:ascii="Calibri" w:hAnsi="Calibri"/>
          <w:spacing w:val="-1"/>
        </w:rPr>
        <w:t>located</w:t>
      </w:r>
      <w:r w:rsidR="00247371">
        <w:rPr>
          <w:rFonts w:ascii="Calibri" w:hAnsi="Calibri"/>
          <w:spacing w:val="-1"/>
        </w:rPr>
        <w:t xml:space="preserve"> </w:t>
      </w:r>
      <w:r w:rsidR="000A5885" w:rsidRPr="001215B9">
        <w:rPr>
          <w:rFonts w:ascii="Calibri" w:hAnsi="Calibri"/>
          <w:spacing w:val="-1"/>
        </w:rPr>
        <w:t>within</w:t>
      </w:r>
      <w:r w:rsidR="00247371">
        <w:rPr>
          <w:rFonts w:ascii="Calibri" w:hAnsi="Calibri"/>
          <w:spacing w:val="-1"/>
        </w:rPr>
        <w:t xml:space="preserve"> </w:t>
      </w:r>
      <w:r w:rsidR="000A5885" w:rsidRPr="001215B9">
        <w:rPr>
          <w:rFonts w:ascii="Calibri" w:hAnsi="Calibri"/>
          <w:spacing w:val="-1"/>
        </w:rPr>
        <w:t>the</w:t>
      </w:r>
      <w:r w:rsidR="00247371">
        <w:rPr>
          <w:rFonts w:ascii="Calibri" w:hAnsi="Calibri"/>
          <w:spacing w:val="-1"/>
        </w:rPr>
        <w:t xml:space="preserve"> </w:t>
      </w:r>
      <w:r w:rsidR="000A5885" w:rsidRPr="001215B9">
        <w:rPr>
          <w:rFonts w:ascii="Calibri" w:hAnsi="Calibri"/>
          <w:spacing w:val="-1"/>
        </w:rPr>
        <w:t>territory</w:t>
      </w:r>
      <w:r w:rsidR="00247371">
        <w:rPr>
          <w:rFonts w:ascii="Calibri" w:hAnsi="Calibri"/>
          <w:spacing w:val="-1"/>
        </w:rPr>
        <w:t xml:space="preserve"> </w:t>
      </w:r>
      <w:r w:rsidR="000A5885" w:rsidRPr="001215B9">
        <w:rPr>
          <w:rFonts w:ascii="Calibri" w:hAnsi="Calibri"/>
        </w:rPr>
        <w:t>of</w:t>
      </w:r>
      <w:r w:rsidR="00247371">
        <w:rPr>
          <w:rFonts w:ascii="Calibri" w:hAnsi="Calibri"/>
        </w:rPr>
        <w:t xml:space="preserve"> </w:t>
      </w:r>
      <w:r w:rsidR="000A5885" w:rsidRPr="001215B9">
        <w:rPr>
          <w:rFonts w:ascii="Calibri" w:hAnsi="Calibri"/>
        </w:rPr>
        <w:t>the</w:t>
      </w:r>
      <w:r w:rsidR="00247371">
        <w:rPr>
          <w:rFonts w:ascii="Calibri" w:hAnsi="Calibri"/>
        </w:rPr>
        <w:t xml:space="preserve"> </w:t>
      </w:r>
      <w:r w:rsidR="000A5885" w:rsidRPr="001215B9">
        <w:rPr>
          <w:rFonts w:ascii="Calibri" w:hAnsi="Calibri"/>
          <w:spacing w:val="-1"/>
        </w:rPr>
        <w:t>state</w:t>
      </w:r>
      <w:r w:rsidR="00247371">
        <w:rPr>
          <w:rFonts w:ascii="Calibri" w:hAnsi="Calibri"/>
          <w:spacing w:val="-1"/>
        </w:rPr>
        <w:t xml:space="preserve"> </w:t>
      </w:r>
      <w:r w:rsidR="000A5885" w:rsidRPr="001215B9">
        <w:rPr>
          <w:rFonts w:ascii="Calibri" w:hAnsi="Calibri"/>
          <w:spacing w:val="-1"/>
        </w:rPr>
        <w:t>competitive</w:t>
      </w:r>
      <w:r w:rsidR="00247371">
        <w:rPr>
          <w:rFonts w:ascii="Calibri" w:hAnsi="Calibri"/>
          <w:spacing w:val="-1"/>
        </w:rPr>
        <w:t xml:space="preserve"> </w:t>
      </w:r>
      <w:r w:rsidR="000A5885" w:rsidRPr="001215B9">
        <w:rPr>
          <w:rFonts w:ascii="Calibri" w:hAnsi="Calibri"/>
          <w:spacing w:val="-1"/>
        </w:rPr>
        <w:t>in</w:t>
      </w:r>
      <w:r w:rsidR="00247371">
        <w:rPr>
          <w:rFonts w:ascii="Calibri" w:hAnsi="Calibri"/>
          <w:spacing w:val="-1"/>
        </w:rPr>
        <w:t xml:space="preserve"> </w:t>
      </w:r>
      <w:r w:rsidR="000A5885" w:rsidRPr="001215B9">
        <w:rPr>
          <w:rFonts w:ascii="Calibri" w:hAnsi="Calibri"/>
          <w:spacing w:val="-1"/>
        </w:rPr>
        <w:t>international</w:t>
      </w:r>
      <w:r w:rsidR="00247371">
        <w:rPr>
          <w:rFonts w:ascii="Calibri" w:hAnsi="Calibri"/>
          <w:spacing w:val="-1"/>
        </w:rPr>
        <w:t xml:space="preserve"> </w:t>
      </w:r>
      <w:r w:rsidR="00BE2D19">
        <w:rPr>
          <w:rFonts w:ascii="Calibri" w:hAnsi="Calibri"/>
          <w:spacing w:val="-1"/>
        </w:rPr>
        <w:t xml:space="preserve">markets” </w:t>
      </w:r>
      <w:r w:rsidR="000A5885" w:rsidRPr="001215B9">
        <w:rPr>
          <w:rFonts w:ascii="Calibri" w:hAnsi="Calibri"/>
          <w:spacing w:val="-1"/>
        </w:rPr>
        <w:t>(Cerny</w:t>
      </w:r>
      <w:r w:rsidR="005A4F3D">
        <w:rPr>
          <w:rFonts w:ascii="Calibri" w:hAnsi="Calibri"/>
          <w:spacing w:val="-1"/>
        </w:rPr>
        <w:t xml:space="preserve"> </w:t>
      </w:r>
      <w:r w:rsidR="000A5885" w:rsidRPr="001215B9">
        <w:rPr>
          <w:rFonts w:ascii="Calibri" w:hAnsi="Calibri"/>
          <w:spacing w:val="-1"/>
        </w:rPr>
        <w:t>1999:</w:t>
      </w:r>
      <w:r w:rsidR="005A4F3D">
        <w:rPr>
          <w:rFonts w:ascii="Calibri" w:hAnsi="Calibri"/>
          <w:spacing w:val="-1"/>
        </w:rPr>
        <w:t xml:space="preserve"> </w:t>
      </w:r>
      <w:r w:rsidR="000A5885" w:rsidRPr="001215B9">
        <w:rPr>
          <w:rFonts w:ascii="Calibri" w:hAnsi="Calibri"/>
          <w:spacing w:val="-1"/>
        </w:rPr>
        <w:t>199).</w:t>
      </w:r>
    </w:p>
    <w:p w14:paraId="3A8E43BD" w14:textId="6DC24030" w:rsidR="003F4CE7" w:rsidRDefault="00F01017" w:rsidP="001215B9">
      <w:pPr>
        <w:spacing w:after="120" w:line="360" w:lineRule="auto"/>
        <w:jc w:val="both"/>
        <w:rPr>
          <w:rFonts w:ascii="Calibri" w:hAnsi="Calibri"/>
          <w:spacing w:val="9"/>
        </w:rPr>
      </w:pPr>
      <w:r>
        <w:rPr>
          <w:rFonts w:ascii="Calibri" w:hAnsi="Calibri"/>
        </w:rPr>
        <w:t>T</w:t>
      </w:r>
      <w:r w:rsidR="008B3E38" w:rsidRPr="001215B9">
        <w:rPr>
          <w:rFonts w:ascii="Calibri" w:hAnsi="Calibri"/>
        </w:rPr>
        <w:t>he demand and supply for</w:t>
      </w:r>
      <w:r w:rsidR="00247371">
        <w:rPr>
          <w:rFonts w:ascii="Calibri" w:hAnsi="Calibri"/>
        </w:rPr>
        <w:t xml:space="preserve"> </w:t>
      </w:r>
      <w:r w:rsidR="008B3E38" w:rsidRPr="001215B9">
        <w:rPr>
          <w:rFonts w:ascii="Calibri" w:hAnsi="Calibri"/>
        </w:rPr>
        <w:t>foreign labour</w:t>
      </w:r>
      <w:r w:rsidR="00BB0501">
        <w:rPr>
          <w:rFonts w:ascii="Calibri" w:hAnsi="Calibri"/>
        </w:rPr>
        <w:t xml:space="preserve"> is no exception to this commodification of the factors of production</w:t>
      </w:r>
      <w:r w:rsidR="008B3E38" w:rsidRPr="001215B9">
        <w:rPr>
          <w:rFonts w:ascii="Calibri" w:hAnsi="Calibri"/>
        </w:rPr>
        <w:t>. Whereas the potential exploitation of manual labour through the relocation of production processes from the industrial countries to low-wage economies in Africa and Asia has been observed from the 1970s onwards (Fröbel</w:t>
      </w:r>
      <w:r w:rsidR="005A4F3D">
        <w:rPr>
          <w:rFonts w:ascii="Calibri" w:hAnsi="Calibri"/>
        </w:rPr>
        <w:t xml:space="preserve"> </w:t>
      </w:r>
      <w:r w:rsidR="008B3E38" w:rsidRPr="001215B9">
        <w:rPr>
          <w:rFonts w:ascii="Calibri" w:hAnsi="Calibri"/>
        </w:rPr>
        <w:t xml:space="preserve">1977), </w:t>
      </w:r>
      <w:r w:rsidR="0004507C" w:rsidRPr="001215B9">
        <w:rPr>
          <w:rFonts w:ascii="Calibri" w:hAnsi="Calibri"/>
        </w:rPr>
        <w:t xml:space="preserve">newer trade policies promoted by developed countries and multinational corporations target the facilitation of flows for highly skilled migrants. </w:t>
      </w:r>
      <w:r w:rsidR="000A5885" w:rsidRPr="001215B9">
        <w:rPr>
          <w:rFonts w:ascii="Calibri" w:hAnsi="Calibri"/>
        </w:rPr>
        <w:t xml:space="preserve">Conversely, developing countries have discovered their surplus of lower skilled workers, </w:t>
      </w:r>
      <w:r w:rsidR="00F110A2">
        <w:rPr>
          <w:rFonts w:ascii="Calibri" w:hAnsi="Calibri"/>
        </w:rPr>
        <w:t>cheaper</w:t>
      </w:r>
      <w:r w:rsidR="000A5885" w:rsidRPr="001215B9">
        <w:rPr>
          <w:rFonts w:ascii="Calibri" w:hAnsi="Calibri"/>
        </w:rPr>
        <w:t xml:space="preserve"> labour and the benefits of remittances as competitive advantages. This has led various countries (</w:t>
      </w:r>
      <w:r w:rsidR="00435D75">
        <w:rPr>
          <w:rFonts w:ascii="Calibri" w:hAnsi="Calibri"/>
        </w:rPr>
        <w:t>e.g.</w:t>
      </w:r>
      <w:r w:rsidR="00265B1E">
        <w:rPr>
          <w:rFonts w:ascii="Calibri" w:hAnsi="Calibri"/>
        </w:rPr>
        <w:t xml:space="preserve"> </w:t>
      </w:r>
      <w:r w:rsidR="000A5885" w:rsidRPr="001215B9">
        <w:rPr>
          <w:rFonts w:ascii="Calibri" w:hAnsi="Calibri"/>
        </w:rPr>
        <w:t xml:space="preserve">Bangladesh, </w:t>
      </w:r>
      <w:r w:rsidR="000A5885" w:rsidRPr="001215B9">
        <w:rPr>
          <w:rFonts w:ascii="Calibri" w:hAnsi="Calibri"/>
        </w:rPr>
        <w:lastRenderedPageBreak/>
        <w:t xml:space="preserve">China, Egypt, </w:t>
      </w:r>
      <w:r w:rsidR="00265B1E">
        <w:rPr>
          <w:rFonts w:ascii="Calibri" w:hAnsi="Calibri"/>
        </w:rPr>
        <w:t xml:space="preserve">India, Indonesia, Pakistan, the </w:t>
      </w:r>
      <w:r w:rsidR="000A5885" w:rsidRPr="001215B9">
        <w:rPr>
          <w:rFonts w:ascii="Calibri" w:hAnsi="Calibri"/>
        </w:rPr>
        <w:t>Philippines, South Korea, Sri Lanka and Vietnam) to develop</w:t>
      </w:r>
      <w:r w:rsidR="000A5885" w:rsidRPr="001215B9">
        <w:rPr>
          <w:rFonts w:ascii="Calibri" w:hAnsi="Calibri"/>
          <w:spacing w:val="-1"/>
        </w:rPr>
        <w:t xml:space="preserve"> government-sponsored</w:t>
      </w:r>
      <w:r w:rsidR="00265B1E">
        <w:rPr>
          <w:rFonts w:ascii="Calibri" w:hAnsi="Calibri"/>
          <w:spacing w:val="-1"/>
        </w:rPr>
        <w:t xml:space="preserve"> </w:t>
      </w:r>
      <w:r w:rsidR="000A5885" w:rsidRPr="001215B9">
        <w:rPr>
          <w:rFonts w:ascii="Calibri" w:hAnsi="Calibri"/>
          <w:spacing w:val="-1"/>
        </w:rPr>
        <w:t>programmes</w:t>
      </w:r>
      <w:r w:rsidR="00265B1E">
        <w:rPr>
          <w:rFonts w:ascii="Calibri" w:hAnsi="Calibri"/>
          <w:spacing w:val="-1"/>
        </w:rPr>
        <w:t xml:space="preserve"> </w:t>
      </w:r>
      <w:r w:rsidR="000A5885" w:rsidRPr="001215B9">
        <w:rPr>
          <w:rFonts w:ascii="Calibri" w:hAnsi="Calibri"/>
          <w:spacing w:val="1"/>
        </w:rPr>
        <w:t>to</w:t>
      </w:r>
      <w:r w:rsidR="00265B1E">
        <w:rPr>
          <w:rFonts w:ascii="Calibri" w:hAnsi="Calibri"/>
          <w:spacing w:val="1"/>
        </w:rPr>
        <w:t xml:space="preserve"> </w:t>
      </w:r>
      <w:r w:rsidR="000A5885" w:rsidRPr="001215B9">
        <w:rPr>
          <w:rFonts w:ascii="Calibri" w:hAnsi="Calibri"/>
          <w:spacing w:val="-1"/>
        </w:rPr>
        <w:t>promote</w:t>
      </w:r>
      <w:r w:rsidR="00265B1E">
        <w:rPr>
          <w:rFonts w:ascii="Calibri" w:hAnsi="Calibri"/>
          <w:spacing w:val="-1"/>
        </w:rPr>
        <w:t xml:space="preserve"> </w:t>
      </w:r>
      <w:r w:rsidR="000A5885" w:rsidRPr="001215B9">
        <w:rPr>
          <w:rFonts w:ascii="Calibri" w:hAnsi="Calibri"/>
          <w:spacing w:val="-1"/>
        </w:rPr>
        <w:t>emigration</w:t>
      </w:r>
      <w:r w:rsidR="008311E6" w:rsidRPr="001215B9">
        <w:rPr>
          <w:rFonts w:ascii="Calibri" w:hAnsi="Calibri"/>
          <w:spacing w:val="-1"/>
        </w:rPr>
        <w:t xml:space="preserve"> in specific professions</w:t>
      </w:r>
      <w:r w:rsidR="00265B1E">
        <w:rPr>
          <w:rFonts w:ascii="Calibri" w:hAnsi="Calibri"/>
          <w:spacing w:val="-1"/>
        </w:rPr>
        <w:t xml:space="preserve"> </w:t>
      </w:r>
      <w:r w:rsidR="000A5885" w:rsidRPr="001215B9">
        <w:rPr>
          <w:rFonts w:ascii="Calibri" w:hAnsi="Calibri"/>
          <w:spacing w:val="-1"/>
        </w:rPr>
        <w:t>(Massey</w:t>
      </w:r>
      <w:r w:rsidR="00265B1E">
        <w:rPr>
          <w:rFonts w:ascii="Calibri" w:hAnsi="Calibri"/>
          <w:spacing w:val="-1"/>
        </w:rPr>
        <w:t xml:space="preserve"> </w:t>
      </w:r>
      <w:r w:rsidR="000A5885" w:rsidRPr="001215B9">
        <w:rPr>
          <w:rFonts w:ascii="Calibri" w:hAnsi="Calibri"/>
          <w:spacing w:val="-1"/>
        </w:rPr>
        <w:t>1999).</w:t>
      </w:r>
    </w:p>
    <w:p w14:paraId="7EC987EB" w14:textId="77777777" w:rsidR="003F4CE7" w:rsidRPr="003F4CE7" w:rsidRDefault="003F4CE7" w:rsidP="001215B9">
      <w:pPr>
        <w:spacing w:after="120" w:line="360" w:lineRule="auto"/>
        <w:jc w:val="both"/>
        <w:rPr>
          <w:rFonts w:ascii="Calibri" w:hAnsi="Calibri"/>
          <w:spacing w:val="9"/>
        </w:rPr>
      </w:pPr>
    </w:p>
    <w:p w14:paraId="74F50CEB" w14:textId="77777777" w:rsidR="008311E6" w:rsidRPr="00702EB3" w:rsidRDefault="008311E6" w:rsidP="001215B9">
      <w:pPr>
        <w:spacing w:after="120" w:line="360" w:lineRule="auto"/>
        <w:jc w:val="both"/>
        <w:rPr>
          <w:rFonts w:ascii="Calibri" w:hAnsi="Calibri"/>
          <w:i/>
          <w:spacing w:val="-2"/>
        </w:rPr>
      </w:pPr>
      <w:r w:rsidRPr="00702EB3">
        <w:rPr>
          <w:rFonts w:ascii="Calibri" w:hAnsi="Calibri"/>
          <w:i/>
          <w:spacing w:val="-2"/>
        </w:rPr>
        <w:t xml:space="preserve">The rise of </w:t>
      </w:r>
      <w:r w:rsidR="00185F68" w:rsidRPr="00702EB3">
        <w:rPr>
          <w:rFonts w:ascii="Calibri" w:hAnsi="Calibri"/>
          <w:i/>
          <w:spacing w:val="-2"/>
        </w:rPr>
        <w:t>the service sector</w:t>
      </w:r>
    </w:p>
    <w:p w14:paraId="77FD7F7D" w14:textId="4724894D" w:rsidR="00207408" w:rsidRPr="00E90D25" w:rsidRDefault="00C47651" w:rsidP="001215B9">
      <w:pPr>
        <w:spacing w:after="120" w:line="360" w:lineRule="auto"/>
        <w:jc w:val="both"/>
        <w:rPr>
          <w:rFonts w:ascii="Calibri" w:hAnsi="Calibri"/>
        </w:rPr>
      </w:pPr>
      <w:r w:rsidRPr="00E90D25">
        <w:rPr>
          <w:rFonts w:ascii="Calibri" w:hAnsi="Calibri"/>
        </w:rPr>
        <w:t xml:space="preserve">Although labour is an integral factor to all modes </w:t>
      </w:r>
      <w:r w:rsidRPr="001215B9">
        <w:rPr>
          <w:rFonts w:ascii="Calibri" w:hAnsi="Calibri"/>
        </w:rPr>
        <w:t>of</w:t>
      </w:r>
      <w:r w:rsidRPr="00E90D25">
        <w:rPr>
          <w:rFonts w:ascii="Calibri" w:hAnsi="Calibri"/>
        </w:rPr>
        <w:t xml:space="preserve"> production, </w:t>
      </w:r>
      <w:r w:rsidRPr="001215B9">
        <w:rPr>
          <w:rFonts w:ascii="Calibri" w:hAnsi="Calibri"/>
        </w:rPr>
        <w:t>the</w:t>
      </w:r>
      <w:r w:rsidR="00265B1E">
        <w:rPr>
          <w:rFonts w:ascii="Calibri" w:hAnsi="Calibri"/>
        </w:rPr>
        <w:t xml:space="preserve"> </w:t>
      </w:r>
      <w:r w:rsidRPr="001215B9">
        <w:rPr>
          <w:rFonts w:ascii="Calibri" w:hAnsi="Calibri"/>
        </w:rPr>
        <w:t>rise</w:t>
      </w:r>
      <w:r w:rsidRPr="00E90D25">
        <w:rPr>
          <w:rFonts w:ascii="Calibri" w:hAnsi="Calibri"/>
        </w:rPr>
        <w:t xml:space="preserve"> of the service sector has specific implications for labour migration</w:t>
      </w:r>
      <w:r w:rsidR="00030BCE">
        <w:rPr>
          <w:rFonts w:ascii="Calibri" w:hAnsi="Calibri"/>
        </w:rPr>
        <w:t>.</w:t>
      </w:r>
      <w:r w:rsidR="00265B1E">
        <w:rPr>
          <w:rFonts w:ascii="Calibri" w:hAnsi="Calibri"/>
        </w:rPr>
        <w:t xml:space="preserve"> </w:t>
      </w:r>
      <w:r w:rsidR="00030BCE">
        <w:rPr>
          <w:rFonts w:ascii="Calibri" w:hAnsi="Calibri"/>
        </w:rPr>
        <w:t>T</w:t>
      </w:r>
      <w:r w:rsidRPr="001215B9">
        <w:rPr>
          <w:rFonts w:ascii="Calibri" w:hAnsi="Calibri"/>
        </w:rPr>
        <w:t>he</w:t>
      </w:r>
      <w:r w:rsidR="00265B1E">
        <w:rPr>
          <w:rFonts w:ascii="Calibri" w:hAnsi="Calibri"/>
        </w:rPr>
        <w:t xml:space="preserve"> </w:t>
      </w:r>
      <w:r w:rsidRPr="001215B9">
        <w:rPr>
          <w:rFonts w:ascii="Calibri" w:hAnsi="Calibri"/>
        </w:rPr>
        <w:t>delivery of</w:t>
      </w:r>
      <w:r w:rsidR="00265B1E">
        <w:rPr>
          <w:rFonts w:ascii="Calibri" w:hAnsi="Calibri"/>
        </w:rPr>
        <w:t xml:space="preserve"> </w:t>
      </w:r>
      <w:r w:rsidR="00BB0501">
        <w:rPr>
          <w:rFonts w:ascii="Calibri" w:hAnsi="Calibri"/>
        </w:rPr>
        <w:t xml:space="preserve">a </w:t>
      </w:r>
      <w:r w:rsidRPr="00E90D25">
        <w:rPr>
          <w:rFonts w:ascii="Calibri" w:hAnsi="Calibri"/>
        </w:rPr>
        <w:t>service</w:t>
      </w:r>
      <w:r w:rsidR="00265B1E">
        <w:rPr>
          <w:rFonts w:ascii="Calibri" w:hAnsi="Calibri"/>
        </w:rPr>
        <w:t xml:space="preserve"> </w:t>
      </w:r>
      <w:r w:rsidRPr="00E90D25">
        <w:rPr>
          <w:rFonts w:ascii="Calibri" w:hAnsi="Calibri"/>
        </w:rPr>
        <w:t xml:space="preserve">is </w:t>
      </w:r>
      <w:r w:rsidRPr="001215B9">
        <w:rPr>
          <w:rFonts w:ascii="Calibri" w:hAnsi="Calibri"/>
        </w:rPr>
        <w:t>often</w:t>
      </w:r>
      <w:r w:rsidR="00265B1E">
        <w:rPr>
          <w:rFonts w:ascii="Calibri" w:hAnsi="Calibri"/>
        </w:rPr>
        <w:t xml:space="preserve"> </w:t>
      </w:r>
      <w:r w:rsidRPr="001215B9">
        <w:rPr>
          <w:rFonts w:ascii="Calibri" w:hAnsi="Calibri"/>
        </w:rPr>
        <w:t>not</w:t>
      </w:r>
      <w:r w:rsidRPr="00E90D25">
        <w:rPr>
          <w:rFonts w:ascii="Calibri" w:hAnsi="Calibri"/>
        </w:rPr>
        <w:t xml:space="preserve"> separable </w:t>
      </w:r>
      <w:r w:rsidRPr="001215B9">
        <w:rPr>
          <w:rFonts w:ascii="Calibri" w:hAnsi="Calibri"/>
        </w:rPr>
        <w:t>from</w:t>
      </w:r>
      <w:r w:rsidRPr="00E90D25">
        <w:rPr>
          <w:rFonts w:ascii="Calibri" w:hAnsi="Calibri"/>
        </w:rPr>
        <w:t xml:space="preserve"> the physical presence </w:t>
      </w:r>
      <w:r w:rsidRPr="001215B9">
        <w:rPr>
          <w:rFonts w:ascii="Calibri" w:hAnsi="Calibri"/>
        </w:rPr>
        <w:t>of</w:t>
      </w:r>
      <w:r w:rsidRPr="00E90D25">
        <w:rPr>
          <w:rFonts w:ascii="Calibri" w:hAnsi="Calibri"/>
        </w:rPr>
        <w:t xml:space="preserve"> the person providing </w:t>
      </w:r>
      <w:r w:rsidR="00542A59">
        <w:rPr>
          <w:rFonts w:ascii="Calibri" w:hAnsi="Calibri"/>
        </w:rPr>
        <w:t>it</w:t>
      </w:r>
      <w:r w:rsidRPr="00E90D25">
        <w:rPr>
          <w:rFonts w:ascii="Calibri" w:hAnsi="Calibri"/>
        </w:rPr>
        <w:t xml:space="preserve"> (Sapir 1999: 52). The expansion of trade in services began </w:t>
      </w:r>
      <w:r w:rsidR="007F7CBE" w:rsidRPr="00E90D25">
        <w:rPr>
          <w:rFonts w:ascii="Calibri" w:hAnsi="Calibri"/>
        </w:rPr>
        <w:t xml:space="preserve">in </w:t>
      </w:r>
      <w:r w:rsidRPr="00E90D25">
        <w:rPr>
          <w:rFonts w:ascii="Calibri" w:hAnsi="Calibri"/>
        </w:rPr>
        <w:t xml:space="preserve">the early 1980s and has by far exceeded growth patterns for trade in goods. </w:t>
      </w:r>
      <w:r w:rsidR="00305CF1" w:rsidRPr="00E90D25">
        <w:rPr>
          <w:rFonts w:ascii="Calibri" w:hAnsi="Calibri"/>
        </w:rPr>
        <w:t xml:space="preserve">The same </w:t>
      </w:r>
      <w:r w:rsidR="007D3F4C">
        <w:rPr>
          <w:rFonts w:ascii="Calibri" w:hAnsi="Calibri"/>
        </w:rPr>
        <w:t xml:space="preserve">evolution </w:t>
      </w:r>
      <w:r w:rsidR="00305CF1" w:rsidRPr="00E90D25">
        <w:rPr>
          <w:rFonts w:ascii="Calibri" w:hAnsi="Calibri"/>
        </w:rPr>
        <w:t xml:space="preserve">has not yet occurred in emerging </w:t>
      </w:r>
      <w:r w:rsidR="00DD3F16">
        <w:rPr>
          <w:rFonts w:ascii="Calibri" w:hAnsi="Calibri"/>
        </w:rPr>
        <w:t>or</w:t>
      </w:r>
      <w:r w:rsidR="00305CF1" w:rsidRPr="00E90D25">
        <w:rPr>
          <w:rFonts w:ascii="Calibri" w:hAnsi="Calibri"/>
        </w:rPr>
        <w:t xml:space="preserve"> developing </w:t>
      </w:r>
      <w:r w:rsidR="001B3F52">
        <w:rPr>
          <w:rFonts w:ascii="Calibri" w:hAnsi="Calibri"/>
        </w:rPr>
        <w:t>countrie</w:t>
      </w:r>
      <w:r w:rsidR="001B3F52" w:rsidRPr="00E90D25">
        <w:rPr>
          <w:rFonts w:ascii="Calibri" w:hAnsi="Calibri"/>
        </w:rPr>
        <w:t>s</w:t>
      </w:r>
      <w:r w:rsidR="00305CF1" w:rsidRPr="00E90D25">
        <w:rPr>
          <w:rFonts w:ascii="Calibri" w:hAnsi="Calibri"/>
        </w:rPr>
        <w:t>. The big exception is India</w:t>
      </w:r>
      <w:r w:rsidR="00391212">
        <w:rPr>
          <w:rFonts w:ascii="Calibri" w:hAnsi="Calibri"/>
        </w:rPr>
        <w:t>,</w:t>
      </w:r>
      <w:r w:rsidR="00305CF1" w:rsidRPr="00E90D25">
        <w:rPr>
          <w:rFonts w:ascii="Calibri" w:hAnsi="Calibri"/>
        </w:rPr>
        <w:t xml:space="preserve"> which has </w:t>
      </w:r>
      <w:r w:rsidR="007D3F4C">
        <w:rPr>
          <w:rFonts w:ascii="Calibri" w:hAnsi="Calibri"/>
        </w:rPr>
        <w:t>set up</w:t>
      </w:r>
      <w:r w:rsidR="007D313C">
        <w:rPr>
          <w:rFonts w:ascii="Calibri" w:hAnsi="Calibri"/>
        </w:rPr>
        <w:t xml:space="preserve"> </w:t>
      </w:r>
      <w:r w:rsidR="00305CF1" w:rsidRPr="00E90D25">
        <w:rPr>
          <w:rFonts w:ascii="Calibri" w:hAnsi="Calibri"/>
        </w:rPr>
        <w:t xml:space="preserve">a competitive information technology sector (IT), and, to a smaller extent, Mexico. </w:t>
      </w:r>
      <w:r w:rsidR="00074B59" w:rsidRPr="00E90D25">
        <w:rPr>
          <w:rFonts w:ascii="Calibri" w:hAnsi="Calibri"/>
        </w:rPr>
        <w:t>According to NASS</w:t>
      </w:r>
      <w:r w:rsidR="00FF60CD" w:rsidRPr="00E90D25">
        <w:rPr>
          <w:rFonts w:ascii="Calibri" w:hAnsi="Calibri"/>
        </w:rPr>
        <w:t>COM</w:t>
      </w:r>
      <w:r w:rsidR="00FF60CD" w:rsidRPr="00BE5F3E">
        <w:rPr>
          <w:rStyle w:val="Funotenzeichen"/>
          <w:spacing w:val="-1"/>
        </w:rPr>
        <w:footnoteReference w:id="1"/>
      </w:r>
      <w:r w:rsidR="00BE5F3E">
        <w:rPr>
          <w:rFonts w:ascii="Calibri" w:hAnsi="Calibri"/>
        </w:rPr>
        <w:t>,</w:t>
      </w:r>
      <w:r w:rsidR="007D3F4C">
        <w:rPr>
          <w:rFonts w:ascii="Calibri" w:hAnsi="Calibri"/>
        </w:rPr>
        <w:t xml:space="preserve"> the lobby organisation of Indian IT businesses,</w:t>
      </w:r>
      <w:r w:rsidR="007D313C">
        <w:rPr>
          <w:rFonts w:ascii="Calibri" w:hAnsi="Calibri"/>
        </w:rPr>
        <w:t xml:space="preserve"> </w:t>
      </w:r>
      <w:r w:rsidR="00074B59" w:rsidRPr="00E90D25">
        <w:rPr>
          <w:rFonts w:ascii="Calibri" w:hAnsi="Calibri"/>
        </w:rPr>
        <w:t>IT</w:t>
      </w:r>
      <w:r w:rsidR="007D313C">
        <w:rPr>
          <w:rFonts w:ascii="Calibri" w:hAnsi="Calibri"/>
        </w:rPr>
        <w:t xml:space="preserve"> </w:t>
      </w:r>
      <w:r w:rsidR="00D1215B" w:rsidRPr="00E90D25">
        <w:rPr>
          <w:rFonts w:ascii="Calibri" w:hAnsi="Calibri"/>
        </w:rPr>
        <w:t>is</w:t>
      </w:r>
      <w:r w:rsidR="007D7A4E" w:rsidRPr="00E90D25">
        <w:rPr>
          <w:rFonts w:ascii="Calibri" w:hAnsi="Calibri"/>
        </w:rPr>
        <w:t xml:space="preserve"> the highest impact service </w:t>
      </w:r>
      <w:r w:rsidR="00074B59" w:rsidRPr="00E90D25">
        <w:rPr>
          <w:rFonts w:ascii="Calibri" w:hAnsi="Calibri"/>
        </w:rPr>
        <w:t>sector</w:t>
      </w:r>
      <w:r w:rsidR="00D1215B" w:rsidRPr="00E90D25">
        <w:rPr>
          <w:rFonts w:ascii="Calibri" w:hAnsi="Calibri"/>
        </w:rPr>
        <w:t xml:space="preserve"> for India</w:t>
      </w:r>
      <w:r w:rsidR="00074B59" w:rsidRPr="00E90D25">
        <w:rPr>
          <w:rFonts w:ascii="Calibri" w:hAnsi="Calibri"/>
        </w:rPr>
        <w:t>, with a share of 8.1% in the total GDP</w:t>
      </w:r>
      <w:r w:rsidR="00D1215B" w:rsidRPr="00E90D25">
        <w:rPr>
          <w:rFonts w:ascii="Calibri" w:hAnsi="Calibri"/>
        </w:rPr>
        <w:t xml:space="preserve"> and the largest share in total services exports</w:t>
      </w:r>
      <w:r w:rsidR="00DD3F16">
        <w:rPr>
          <w:rFonts w:ascii="Calibri" w:hAnsi="Calibri"/>
        </w:rPr>
        <w:t xml:space="preserve">, </w:t>
      </w:r>
      <w:r w:rsidR="00D1215B" w:rsidRPr="00E90D25">
        <w:rPr>
          <w:rFonts w:ascii="Calibri" w:hAnsi="Calibri"/>
        </w:rPr>
        <w:t>up to 38%</w:t>
      </w:r>
      <w:r w:rsidR="00074B59" w:rsidRPr="00E90D25">
        <w:rPr>
          <w:rFonts w:ascii="Calibri" w:hAnsi="Calibri"/>
        </w:rPr>
        <w:t xml:space="preserve">. </w:t>
      </w:r>
      <w:r w:rsidR="00305CF1" w:rsidRPr="00E90D25">
        <w:rPr>
          <w:rFonts w:ascii="Calibri" w:hAnsi="Calibri"/>
        </w:rPr>
        <w:t xml:space="preserve">Therefore </w:t>
      </w:r>
      <w:r w:rsidR="007D3F4C">
        <w:rPr>
          <w:rFonts w:ascii="Calibri" w:hAnsi="Calibri"/>
        </w:rPr>
        <w:t xml:space="preserve">India has </w:t>
      </w:r>
      <w:r w:rsidR="00305CF1" w:rsidRPr="00E90D25">
        <w:rPr>
          <w:rFonts w:ascii="Calibri" w:hAnsi="Calibri"/>
        </w:rPr>
        <w:t>embraced the services trade agenda early on and ha</w:t>
      </w:r>
      <w:r w:rsidR="007D3F4C">
        <w:rPr>
          <w:rFonts w:ascii="Calibri" w:hAnsi="Calibri"/>
        </w:rPr>
        <w:t>s</w:t>
      </w:r>
      <w:r w:rsidR="00305CF1" w:rsidRPr="00E90D25">
        <w:rPr>
          <w:rFonts w:ascii="Calibri" w:hAnsi="Calibri"/>
        </w:rPr>
        <w:t xml:space="preserve"> tried to widen its scope to cover mobility of service providers at all level of skills. Other emerging economies such as Brazil or China have been slower in the development of their services industries, but have nevertheless also given support to </w:t>
      </w:r>
      <w:r w:rsidR="00DD3F16">
        <w:rPr>
          <w:rFonts w:ascii="Calibri" w:hAnsi="Calibri"/>
        </w:rPr>
        <w:t xml:space="preserve">multilateral </w:t>
      </w:r>
      <w:r w:rsidR="00305CF1" w:rsidRPr="00E90D25">
        <w:rPr>
          <w:rFonts w:ascii="Calibri" w:hAnsi="Calibri"/>
        </w:rPr>
        <w:t xml:space="preserve">trade in services </w:t>
      </w:r>
      <w:r w:rsidR="00F262D1">
        <w:rPr>
          <w:rFonts w:ascii="Calibri" w:hAnsi="Calibri"/>
        </w:rPr>
        <w:t>liberalis</w:t>
      </w:r>
      <w:r w:rsidR="00DD3F16">
        <w:rPr>
          <w:rFonts w:ascii="Calibri" w:hAnsi="Calibri"/>
        </w:rPr>
        <w:t xml:space="preserve">ation </w:t>
      </w:r>
      <w:r w:rsidR="00305CF1" w:rsidRPr="00E90D25">
        <w:rPr>
          <w:rFonts w:ascii="Calibri" w:hAnsi="Calibri"/>
        </w:rPr>
        <w:t>with the condition that this includes the mobility of service providers</w:t>
      </w:r>
      <w:r w:rsidR="0039526F" w:rsidRPr="00E90D25">
        <w:rPr>
          <w:rFonts w:ascii="Calibri" w:hAnsi="Calibri"/>
        </w:rPr>
        <w:t xml:space="preserve"> as one factor of production in which they have comparative advantages</w:t>
      </w:r>
      <w:r w:rsidR="00ED6175">
        <w:rPr>
          <w:rFonts w:ascii="Calibri" w:hAnsi="Calibri"/>
        </w:rPr>
        <w:t>.</w:t>
      </w:r>
    </w:p>
    <w:p w14:paraId="5310E2CF" w14:textId="44861DB7" w:rsidR="00C47651" w:rsidRPr="001215B9" w:rsidRDefault="0039526F" w:rsidP="001215B9">
      <w:pPr>
        <w:spacing w:after="120" w:line="360" w:lineRule="auto"/>
        <w:jc w:val="both"/>
        <w:rPr>
          <w:rFonts w:ascii="Calibri" w:hAnsi="Calibri"/>
        </w:rPr>
      </w:pPr>
      <w:r w:rsidRPr="001215B9">
        <w:rPr>
          <w:rFonts w:ascii="Calibri" w:hAnsi="Calibri"/>
        </w:rPr>
        <w:t xml:space="preserve">This focus on the mobility of persons contrasts with the perspective of </w:t>
      </w:r>
      <w:r w:rsidR="00207408" w:rsidRPr="001215B9">
        <w:rPr>
          <w:rFonts w:ascii="Calibri" w:hAnsi="Calibri"/>
        </w:rPr>
        <w:t>Western service industries</w:t>
      </w:r>
      <w:r w:rsidRPr="001215B9">
        <w:rPr>
          <w:rFonts w:ascii="Calibri" w:hAnsi="Calibri"/>
        </w:rPr>
        <w:t>. The latter's main interest is linked to commercial presence abroad, thus implying the mobility of firms and, only in the</w:t>
      </w:r>
      <w:r w:rsidR="00F262D1">
        <w:rPr>
          <w:rFonts w:ascii="Calibri" w:hAnsi="Calibri"/>
        </w:rPr>
        <w:t xml:space="preserve"> context of this transnationalis</w:t>
      </w:r>
      <w:r w:rsidRPr="001215B9">
        <w:rPr>
          <w:rFonts w:ascii="Calibri" w:hAnsi="Calibri"/>
        </w:rPr>
        <w:t>ation, also the mobility of managers and key personnel within these enterprises</w:t>
      </w:r>
      <w:r w:rsidR="00C47651" w:rsidRPr="001215B9">
        <w:rPr>
          <w:rFonts w:ascii="Calibri" w:hAnsi="Calibri"/>
        </w:rPr>
        <w:t xml:space="preserve"> (Sassen 1998). </w:t>
      </w:r>
      <w:r w:rsidR="00CD4F24">
        <w:rPr>
          <w:rFonts w:ascii="Calibri" w:hAnsi="Calibri"/>
        </w:rPr>
        <w:t>T</w:t>
      </w:r>
      <w:r w:rsidR="00C47651" w:rsidRPr="001215B9">
        <w:rPr>
          <w:rFonts w:ascii="Calibri" w:hAnsi="Calibri"/>
        </w:rPr>
        <w:t xml:space="preserve">ight immigration laws and bureaucratic admission procedures </w:t>
      </w:r>
      <w:r w:rsidRPr="001215B9">
        <w:rPr>
          <w:rFonts w:ascii="Calibri" w:hAnsi="Calibri"/>
        </w:rPr>
        <w:t>have increasingly been</w:t>
      </w:r>
      <w:r w:rsidR="00C47651" w:rsidRPr="001215B9">
        <w:rPr>
          <w:rFonts w:ascii="Calibri" w:hAnsi="Calibri"/>
        </w:rPr>
        <w:t xml:space="preserve"> identified as potential barriers to the inflow of foreign capital. </w:t>
      </w:r>
      <w:r w:rsidRPr="001215B9">
        <w:rPr>
          <w:rFonts w:ascii="Calibri" w:hAnsi="Calibri"/>
          <w:spacing w:val="-1"/>
        </w:rPr>
        <w:t>In the absence of competitive MNCs, developing countries a</w:t>
      </w:r>
      <w:r w:rsidR="00F262D1">
        <w:rPr>
          <w:rFonts w:ascii="Calibri" w:hAnsi="Calibri"/>
          <w:spacing w:val="-1"/>
        </w:rPr>
        <w:t>re detached from these liberalis</w:t>
      </w:r>
      <w:r w:rsidRPr="001215B9">
        <w:rPr>
          <w:rFonts w:ascii="Calibri" w:hAnsi="Calibri"/>
          <w:spacing w:val="-1"/>
        </w:rPr>
        <w:t>ation steps and have therefore n</w:t>
      </w:r>
      <w:r w:rsidR="00F262D1">
        <w:rPr>
          <w:rFonts w:ascii="Calibri" w:hAnsi="Calibri"/>
          <w:spacing w:val="-1"/>
        </w:rPr>
        <w:t>egotiated in favour of liberalis</w:t>
      </w:r>
      <w:r w:rsidRPr="001215B9">
        <w:rPr>
          <w:rFonts w:ascii="Calibri" w:hAnsi="Calibri"/>
          <w:spacing w:val="-1"/>
        </w:rPr>
        <w:t>ing the mobility of service providers independently from their attachment to MNCs.</w:t>
      </w:r>
    </w:p>
    <w:p w14:paraId="49D9F78A" w14:textId="77777777" w:rsidR="00D1215B" w:rsidRDefault="00D1215B" w:rsidP="001215B9">
      <w:pPr>
        <w:spacing w:after="120" w:line="360" w:lineRule="auto"/>
        <w:jc w:val="both"/>
        <w:rPr>
          <w:rFonts w:ascii="Calibri" w:hAnsi="Calibri"/>
          <w:b/>
          <w:lang w:val="en-US"/>
        </w:rPr>
      </w:pPr>
    </w:p>
    <w:p w14:paraId="36057D10" w14:textId="77777777" w:rsidR="00645B17" w:rsidRPr="001215B9" w:rsidRDefault="00645B17" w:rsidP="001215B9">
      <w:pPr>
        <w:spacing w:after="120" w:line="360" w:lineRule="auto"/>
        <w:jc w:val="both"/>
        <w:rPr>
          <w:rFonts w:ascii="Calibri" w:hAnsi="Calibri"/>
          <w:b/>
          <w:lang w:val="en-US"/>
        </w:rPr>
      </w:pPr>
    </w:p>
    <w:p w14:paraId="49FA48E4" w14:textId="77777777" w:rsidR="00662AC2" w:rsidRPr="001215B9" w:rsidRDefault="00502EBF" w:rsidP="001215B9">
      <w:pPr>
        <w:spacing w:after="120" w:line="360" w:lineRule="auto"/>
        <w:jc w:val="both"/>
        <w:rPr>
          <w:rFonts w:ascii="Calibri" w:hAnsi="Calibri"/>
          <w:b/>
          <w:lang w:val="en-US"/>
        </w:rPr>
      </w:pPr>
      <w:r w:rsidRPr="001215B9">
        <w:rPr>
          <w:rFonts w:ascii="Calibri" w:hAnsi="Calibri"/>
          <w:b/>
          <w:lang w:val="en-US"/>
        </w:rPr>
        <w:t>The invention of "</w:t>
      </w:r>
      <w:r w:rsidR="00662AC2" w:rsidRPr="001215B9">
        <w:rPr>
          <w:rFonts w:ascii="Calibri" w:hAnsi="Calibri"/>
          <w:b/>
          <w:lang w:val="en-US"/>
        </w:rPr>
        <w:t>mode 4</w:t>
      </w:r>
      <w:r w:rsidRPr="001215B9">
        <w:rPr>
          <w:rFonts w:ascii="Calibri" w:hAnsi="Calibri"/>
          <w:b/>
          <w:lang w:val="en-US"/>
        </w:rPr>
        <w:t>"</w:t>
      </w:r>
    </w:p>
    <w:p w14:paraId="21CB31EA" w14:textId="3344BD8A" w:rsidR="00882D6B" w:rsidRPr="001215B9" w:rsidRDefault="00F11A4A" w:rsidP="001215B9">
      <w:pPr>
        <w:spacing w:after="120" w:line="360" w:lineRule="auto"/>
        <w:jc w:val="both"/>
        <w:rPr>
          <w:rFonts w:ascii="Calibri" w:hAnsi="Calibri" w:cs="Times New Roman"/>
        </w:rPr>
      </w:pPr>
      <w:r w:rsidRPr="001215B9">
        <w:rPr>
          <w:rFonts w:ascii="Calibri" w:hAnsi="Calibri" w:cs="Times New Roman"/>
          <w:lang w:val="en-US"/>
        </w:rPr>
        <w:t>"M</w:t>
      </w:r>
      <w:r w:rsidR="00662AC2" w:rsidRPr="001215B9">
        <w:rPr>
          <w:rFonts w:ascii="Calibri" w:hAnsi="Calibri" w:cs="Times New Roman"/>
          <w:lang w:val="en-US"/>
        </w:rPr>
        <w:t xml:space="preserve">ode 4" </w:t>
      </w:r>
      <w:r w:rsidRPr="001215B9">
        <w:rPr>
          <w:rFonts w:ascii="Calibri" w:hAnsi="Calibri" w:cs="Times New Roman"/>
          <w:lang w:val="en-US"/>
        </w:rPr>
        <w:t xml:space="preserve">is the technical term for the </w:t>
      </w:r>
      <w:r w:rsidR="00662AC2" w:rsidRPr="001215B9">
        <w:rPr>
          <w:rFonts w:ascii="Calibri" w:hAnsi="Calibri" w:cs="Times New Roman"/>
          <w:lang w:val="en-US"/>
        </w:rPr>
        <w:t>li</w:t>
      </w:r>
      <w:r w:rsidR="00F262D1">
        <w:rPr>
          <w:rFonts w:ascii="Calibri" w:hAnsi="Calibri" w:cs="Times New Roman"/>
          <w:lang w:val="en-US"/>
        </w:rPr>
        <w:t>beralis</w:t>
      </w:r>
      <w:r w:rsidR="00662AC2" w:rsidRPr="001215B9">
        <w:rPr>
          <w:rFonts w:ascii="Calibri" w:hAnsi="Calibri" w:cs="Times New Roman"/>
          <w:lang w:val="en-US"/>
        </w:rPr>
        <w:t>ation</w:t>
      </w:r>
      <w:r w:rsidRPr="001215B9">
        <w:rPr>
          <w:rFonts w:ascii="Calibri" w:hAnsi="Calibri" w:cs="Times New Roman"/>
          <w:lang w:val="en-US"/>
        </w:rPr>
        <w:t xml:space="preserve"> of </w:t>
      </w:r>
      <w:r w:rsidR="00662AC2" w:rsidRPr="001215B9">
        <w:rPr>
          <w:rFonts w:ascii="Calibri" w:hAnsi="Calibri" w:cs="Times New Roman"/>
          <w:lang w:val="en-US"/>
        </w:rPr>
        <w:t xml:space="preserve">temporary mobility </w:t>
      </w:r>
      <w:r w:rsidR="007227A2">
        <w:rPr>
          <w:rFonts w:ascii="Calibri" w:hAnsi="Calibri" w:cs="Times New Roman"/>
          <w:lang w:val="en-US"/>
        </w:rPr>
        <w:t>of</w:t>
      </w:r>
      <w:r w:rsidR="00662AC2" w:rsidRPr="001215B9">
        <w:rPr>
          <w:rFonts w:ascii="Calibri" w:hAnsi="Calibri" w:cs="Times New Roman"/>
          <w:lang w:val="en-US"/>
        </w:rPr>
        <w:t xml:space="preserve"> service providers</w:t>
      </w:r>
      <w:r w:rsidRPr="001215B9">
        <w:rPr>
          <w:rFonts w:ascii="Calibri" w:hAnsi="Calibri" w:cs="Times New Roman"/>
          <w:lang w:val="en-US"/>
        </w:rPr>
        <w:t xml:space="preserve"> in the General Agreement of Trade in Services</w:t>
      </w:r>
      <w:r w:rsidR="00217CFA" w:rsidRPr="001215B9">
        <w:rPr>
          <w:rFonts w:ascii="Calibri" w:hAnsi="Calibri" w:cs="Times New Roman"/>
        </w:rPr>
        <w:t xml:space="preserve">. It establishes a </w:t>
      </w:r>
      <w:r w:rsidR="00A6006F">
        <w:rPr>
          <w:rFonts w:ascii="Calibri" w:hAnsi="Calibri" w:cs="Times New Roman"/>
        </w:rPr>
        <w:t>framework of rules for liberalis</w:t>
      </w:r>
      <w:r w:rsidR="00217CFA" w:rsidRPr="001215B9">
        <w:rPr>
          <w:rFonts w:ascii="Calibri" w:hAnsi="Calibri" w:cs="Times New Roman"/>
        </w:rPr>
        <w:t xml:space="preserve">ing trade in services and national commitments on market access for services produced by foreign suppliers. </w:t>
      </w:r>
      <w:r w:rsidR="00E76FB7" w:rsidRPr="001215B9">
        <w:rPr>
          <w:rFonts w:ascii="Calibri" w:hAnsi="Calibri" w:cs="Times New Roman"/>
        </w:rPr>
        <w:t xml:space="preserve">GATS </w:t>
      </w:r>
      <w:r w:rsidR="00E76FB7" w:rsidRPr="001215B9">
        <w:rPr>
          <w:rFonts w:ascii="Calibri" w:hAnsi="Calibri" w:cs="Times New Roman"/>
        </w:rPr>
        <w:lastRenderedPageBreak/>
        <w:t>differentiates among four modes of</w:t>
      </w:r>
      <w:r w:rsidR="00EA7EA9" w:rsidRPr="001215B9">
        <w:rPr>
          <w:rFonts w:ascii="Calibri" w:hAnsi="Calibri" w:cs="Times New Roman"/>
        </w:rPr>
        <w:t xml:space="preserve"> trans-border trade in services: electronic commerce</w:t>
      </w:r>
      <w:r w:rsidR="005945EF">
        <w:rPr>
          <w:rFonts w:ascii="Calibri" w:hAnsi="Calibri" w:cs="Times New Roman"/>
        </w:rPr>
        <w:t xml:space="preserve"> – </w:t>
      </w:r>
      <w:r w:rsidR="00EA7EA9" w:rsidRPr="001215B9">
        <w:rPr>
          <w:rFonts w:ascii="Calibri" w:hAnsi="Calibri" w:cs="Times New Roman"/>
        </w:rPr>
        <w:t>a service moves electronically from one to another country (mode 1), movement of the consumer</w:t>
      </w:r>
      <w:r w:rsidR="005945EF">
        <w:rPr>
          <w:rFonts w:ascii="Calibri" w:hAnsi="Calibri" w:cs="Times New Roman"/>
        </w:rPr>
        <w:t xml:space="preserve"> –</w:t>
      </w:r>
      <w:r w:rsidR="00EA7EA9" w:rsidRPr="001215B9">
        <w:rPr>
          <w:rFonts w:ascii="Calibri" w:hAnsi="Calibri" w:cs="Times New Roman"/>
        </w:rPr>
        <w:t xml:space="preserve"> a person goes to another country to </w:t>
      </w:r>
      <w:r w:rsidR="00AC190B">
        <w:rPr>
          <w:rFonts w:ascii="Calibri" w:hAnsi="Calibri" w:cs="Times New Roman"/>
        </w:rPr>
        <w:t>consume a</w:t>
      </w:r>
      <w:r w:rsidR="00EA7EA9" w:rsidRPr="001215B9">
        <w:rPr>
          <w:rFonts w:ascii="Calibri" w:hAnsi="Calibri" w:cs="Times New Roman"/>
        </w:rPr>
        <w:t xml:space="preserve"> service (mode 2), movement of juridical persons</w:t>
      </w:r>
      <w:r w:rsidR="00715A38">
        <w:rPr>
          <w:rFonts w:ascii="Calibri" w:hAnsi="Calibri" w:cs="Times New Roman"/>
        </w:rPr>
        <w:t>/</w:t>
      </w:r>
      <w:r w:rsidR="00EA7EA9" w:rsidRPr="001215B9">
        <w:rPr>
          <w:rFonts w:ascii="Calibri" w:hAnsi="Calibri" w:cs="Times New Roman"/>
        </w:rPr>
        <w:t>commercial presence</w:t>
      </w:r>
      <w:r w:rsidR="005945EF">
        <w:rPr>
          <w:rFonts w:ascii="Calibri" w:hAnsi="Calibri" w:cs="Times New Roman"/>
        </w:rPr>
        <w:t xml:space="preserve"> – </w:t>
      </w:r>
      <w:r w:rsidR="00EA7EA9" w:rsidRPr="001215B9">
        <w:rPr>
          <w:rFonts w:ascii="Calibri" w:hAnsi="Calibri" w:cs="Times New Roman"/>
        </w:rPr>
        <w:t xml:space="preserve">a firm moves to another country to establish </w:t>
      </w:r>
      <w:r w:rsidR="00E36300">
        <w:rPr>
          <w:rFonts w:ascii="Calibri" w:hAnsi="Calibri" w:cs="Times New Roman"/>
        </w:rPr>
        <w:t>presence</w:t>
      </w:r>
      <w:r w:rsidR="00EA7EA9" w:rsidRPr="001215B9">
        <w:rPr>
          <w:rFonts w:ascii="Calibri" w:hAnsi="Calibri" w:cs="Times New Roman"/>
        </w:rPr>
        <w:t xml:space="preserve"> (mode 3), and the movement of the service provider </w:t>
      </w:r>
      <w:r w:rsidR="005945EF">
        <w:rPr>
          <w:rFonts w:ascii="Calibri" w:hAnsi="Calibri" w:cs="Times New Roman"/>
        </w:rPr>
        <w:t xml:space="preserve">– </w:t>
      </w:r>
      <w:r w:rsidR="00715A38">
        <w:rPr>
          <w:rFonts w:ascii="Calibri" w:hAnsi="Calibri" w:cs="Times New Roman"/>
        </w:rPr>
        <w:t xml:space="preserve">a </w:t>
      </w:r>
      <w:r w:rsidR="00EA7EA9" w:rsidRPr="001215B9">
        <w:rPr>
          <w:rFonts w:ascii="Calibri" w:hAnsi="Calibri" w:cs="Times New Roman"/>
        </w:rPr>
        <w:t xml:space="preserve">natural person </w:t>
      </w:r>
      <w:r w:rsidR="00715A38">
        <w:rPr>
          <w:rFonts w:ascii="Calibri" w:hAnsi="Calibri" w:cs="Times New Roman"/>
        </w:rPr>
        <w:t>delivers</w:t>
      </w:r>
      <w:r w:rsidR="00EA7EA9" w:rsidRPr="001215B9">
        <w:rPr>
          <w:rFonts w:ascii="Calibri" w:hAnsi="Calibri" w:cs="Times New Roman"/>
        </w:rPr>
        <w:t xml:space="preserve"> a servi</w:t>
      </w:r>
      <w:r w:rsidR="00882D6B" w:rsidRPr="001215B9">
        <w:rPr>
          <w:rFonts w:ascii="Calibri" w:hAnsi="Calibri" w:cs="Times New Roman"/>
        </w:rPr>
        <w:t>ce in another country (mode 4).</w:t>
      </w:r>
    </w:p>
    <w:p w14:paraId="0B46A4BE" w14:textId="5F7CCB69" w:rsidR="00EA7EA9" w:rsidRPr="001215B9" w:rsidRDefault="00715A38" w:rsidP="001215B9">
      <w:pPr>
        <w:spacing w:after="120" w:line="360" w:lineRule="auto"/>
        <w:jc w:val="both"/>
        <w:rPr>
          <w:rFonts w:ascii="Calibri" w:hAnsi="Calibri" w:cs="Times New Roman"/>
        </w:rPr>
      </w:pPr>
      <w:r>
        <w:rPr>
          <w:rFonts w:ascii="Calibri" w:hAnsi="Calibri" w:cs="Times New Roman"/>
        </w:rPr>
        <w:t>M</w:t>
      </w:r>
      <w:r w:rsidR="00217CFA" w:rsidRPr="001215B9">
        <w:rPr>
          <w:rFonts w:ascii="Calibri" w:hAnsi="Calibri" w:cs="Times New Roman"/>
        </w:rPr>
        <w:t>ovement of labour is often used in conjunction wit</w:t>
      </w:r>
      <w:r>
        <w:rPr>
          <w:rFonts w:ascii="Calibri" w:hAnsi="Calibri" w:cs="Times New Roman"/>
        </w:rPr>
        <w:t>h other</w:t>
      </w:r>
      <w:r w:rsidR="00217CFA" w:rsidRPr="001215B9">
        <w:rPr>
          <w:rFonts w:ascii="Calibri" w:hAnsi="Calibri" w:cs="Times New Roman"/>
        </w:rPr>
        <w:t xml:space="preserve"> modes of delivery</w:t>
      </w:r>
      <w:r>
        <w:rPr>
          <w:rFonts w:ascii="Calibri" w:hAnsi="Calibri" w:cs="Times New Roman"/>
        </w:rPr>
        <w:t>.</w:t>
      </w:r>
      <w:r w:rsidR="00217CFA" w:rsidRPr="001215B9">
        <w:rPr>
          <w:rFonts w:ascii="Calibri" w:hAnsi="Calibri" w:cs="Times New Roman"/>
        </w:rPr>
        <w:t xml:space="preserve"> According to Ghosh, "the greater the labour intensity of the service to be traded,</w:t>
      </w:r>
      <w:r w:rsidR="007D313C">
        <w:rPr>
          <w:rFonts w:ascii="Calibri" w:hAnsi="Calibri" w:cs="Times New Roman"/>
        </w:rPr>
        <w:t xml:space="preserve"> </w:t>
      </w:r>
      <w:r w:rsidR="00217CFA" w:rsidRPr="001215B9">
        <w:rPr>
          <w:rFonts w:ascii="Calibri" w:hAnsi="Calibri" w:cs="Times New Roman"/>
        </w:rPr>
        <w:t>the more it is likely to be affected by restrictions to market access through visas and work and residence</w:t>
      </w:r>
      <w:r w:rsidR="007D313C">
        <w:rPr>
          <w:rFonts w:ascii="Calibri" w:hAnsi="Calibri" w:cs="Times New Roman"/>
        </w:rPr>
        <w:t xml:space="preserve"> </w:t>
      </w:r>
      <w:r w:rsidR="00217CFA" w:rsidRPr="001215B9">
        <w:rPr>
          <w:rFonts w:ascii="Calibri" w:hAnsi="Calibri" w:cs="Times New Roman"/>
        </w:rPr>
        <w:t>permits" (Ghosh 1997: 51</w:t>
      </w:r>
      <w:r w:rsidR="00EA7EA9" w:rsidRPr="001215B9">
        <w:rPr>
          <w:rFonts w:ascii="Calibri" w:hAnsi="Calibri" w:cs="Times New Roman"/>
        </w:rPr>
        <w:t>).</w:t>
      </w:r>
    </w:p>
    <w:p w14:paraId="302AD27C" w14:textId="6F93242D" w:rsidR="00EA7EA9" w:rsidRPr="001215B9" w:rsidRDefault="00EA7EA9" w:rsidP="001215B9">
      <w:pPr>
        <w:spacing w:after="120" w:line="360" w:lineRule="auto"/>
        <w:jc w:val="both"/>
        <w:rPr>
          <w:rFonts w:ascii="Calibri" w:hAnsi="Calibri" w:cs="Times New Roman"/>
        </w:rPr>
      </w:pPr>
      <w:r w:rsidRPr="001215B9">
        <w:rPr>
          <w:rFonts w:ascii="Calibri" w:hAnsi="Calibri" w:cs="Times New Roman"/>
        </w:rPr>
        <w:t xml:space="preserve">The inclusion of labour mobility in the GATS treaty was not self-evident. </w:t>
      </w:r>
      <w:r w:rsidR="00217CFA" w:rsidRPr="001215B9">
        <w:rPr>
          <w:rFonts w:ascii="Calibri" w:hAnsi="Calibri" w:cs="Times New Roman"/>
        </w:rPr>
        <w:t>When the</w:t>
      </w:r>
      <w:r w:rsidR="007D313C">
        <w:rPr>
          <w:rFonts w:ascii="Calibri" w:hAnsi="Calibri" w:cs="Times New Roman"/>
        </w:rPr>
        <w:t xml:space="preserve"> </w:t>
      </w:r>
      <w:r w:rsidR="00217CFA" w:rsidRPr="001215B9">
        <w:rPr>
          <w:rFonts w:ascii="Calibri" w:hAnsi="Calibri" w:cs="Times New Roman"/>
        </w:rPr>
        <w:t>industrial nations and above all the USA decided to raise services onto the Uruguay Round in the</w:t>
      </w:r>
      <w:r w:rsidR="007D313C">
        <w:rPr>
          <w:rFonts w:ascii="Calibri" w:hAnsi="Calibri" w:cs="Times New Roman"/>
        </w:rPr>
        <w:t xml:space="preserve"> </w:t>
      </w:r>
      <w:r w:rsidR="00217CFA" w:rsidRPr="001215B9">
        <w:rPr>
          <w:rFonts w:ascii="Calibri" w:hAnsi="Calibri" w:cs="Times New Roman"/>
        </w:rPr>
        <w:t xml:space="preserve">mid-1980s, they faced opposition from the developing countries. </w:t>
      </w:r>
      <w:r w:rsidR="0003193F">
        <w:rPr>
          <w:rFonts w:ascii="Calibri" w:hAnsi="Calibri" w:cs="Times New Roman"/>
        </w:rPr>
        <w:t>M</w:t>
      </w:r>
      <w:r w:rsidR="00217CFA" w:rsidRPr="001215B9">
        <w:rPr>
          <w:rFonts w:ascii="Calibri" w:hAnsi="Calibri" w:cs="Times New Roman"/>
        </w:rPr>
        <w:t>ost developing countries are traders at the margin and not competitive in those sectors</w:t>
      </w:r>
      <w:r w:rsidR="007D313C">
        <w:rPr>
          <w:rFonts w:ascii="Calibri" w:hAnsi="Calibri" w:cs="Times New Roman"/>
        </w:rPr>
        <w:t xml:space="preserve"> </w:t>
      </w:r>
      <w:r w:rsidR="00217CFA" w:rsidRPr="001215B9">
        <w:rPr>
          <w:rFonts w:ascii="Calibri" w:hAnsi="Calibri" w:cs="Times New Roman"/>
        </w:rPr>
        <w:t xml:space="preserve">which interest the North, </w:t>
      </w:r>
      <w:r w:rsidR="00023E56">
        <w:rPr>
          <w:rFonts w:ascii="Calibri" w:hAnsi="Calibri" w:cs="Times New Roman"/>
        </w:rPr>
        <w:t>(</w:t>
      </w:r>
      <w:r w:rsidR="00C76F8C">
        <w:rPr>
          <w:rFonts w:ascii="Calibri" w:hAnsi="Calibri" w:cs="Times New Roman"/>
        </w:rPr>
        <w:t>esp.</w:t>
      </w:r>
      <w:r w:rsidR="00023E56" w:rsidRPr="001215B9">
        <w:rPr>
          <w:rFonts w:ascii="Calibri" w:hAnsi="Calibri" w:cs="Times New Roman"/>
        </w:rPr>
        <w:t xml:space="preserve"> financ</w:t>
      </w:r>
      <w:r w:rsidR="00023E56">
        <w:rPr>
          <w:rFonts w:ascii="Calibri" w:hAnsi="Calibri" w:cs="Times New Roman"/>
        </w:rPr>
        <w:t>e</w:t>
      </w:r>
      <w:r w:rsidR="007D313C">
        <w:rPr>
          <w:rFonts w:ascii="Calibri" w:hAnsi="Calibri" w:cs="Times New Roman"/>
        </w:rPr>
        <w:t xml:space="preserve"> </w:t>
      </w:r>
      <w:r w:rsidR="00217CFA" w:rsidRPr="001215B9">
        <w:rPr>
          <w:rFonts w:ascii="Calibri" w:hAnsi="Calibri" w:cs="Times New Roman"/>
        </w:rPr>
        <w:t>and telecommunication</w:t>
      </w:r>
      <w:r w:rsidR="00023E56">
        <w:rPr>
          <w:rFonts w:ascii="Calibri" w:hAnsi="Calibri" w:cs="Times New Roman"/>
        </w:rPr>
        <w:t>s)</w:t>
      </w:r>
      <w:r w:rsidR="00217CFA" w:rsidRPr="001215B9">
        <w:rPr>
          <w:rFonts w:ascii="Calibri" w:hAnsi="Calibri" w:cs="Times New Roman"/>
        </w:rPr>
        <w:t xml:space="preserve">. </w:t>
      </w:r>
      <w:r w:rsidR="00437661">
        <w:rPr>
          <w:rFonts w:ascii="Calibri" w:hAnsi="Calibri" w:cs="Times New Roman"/>
        </w:rPr>
        <w:t>L</w:t>
      </w:r>
      <w:r w:rsidR="00A6006F">
        <w:rPr>
          <w:rFonts w:ascii="Calibri" w:hAnsi="Calibri" w:cs="Times New Roman"/>
        </w:rPr>
        <w:t>iberalis</w:t>
      </w:r>
      <w:r w:rsidR="00217CFA" w:rsidRPr="001215B9">
        <w:rPr>
          <w:rFonts w:ascii="Calibri" w:hAnsi="Calibri" w:cs="Times New Roman"/>
        </w:rPr>
        <w:t>ation of</w:t>
      </w:r>
      <w:r w:rsidR="007D313C">
        <w:rPr>
          <w:rFonts w:ascii="Calibri" w:hAnsi="Calibri" w:cs="Times New Roman"/>
        </w:rPr>
        <w:t xml:space="preserve"> </w:t>
      </w:r>
      <w:r w:rsidR="00217CFA" w:rsidRPr="001215B9">
        <w:rPr>
          <w:rFonts w:ascii="Calibri" w:hAnsi="Calibri" w:cs="Times New Roman"/>
        </w:rPr>
        <w:t xml:space="preserve">their markets was perceived as hindering the development of own service </w:t>
      </w:r>
      <w:r w:rsidR="00E413FC" w:rsidRPr="001215B9">
        <w:rPr>
          <w:rFonts w:ascii="Calibri" w:hAnsi="Calibri" w:cs="Times New Roman"/>
        </w:rPr>
        <w:t>industries</w:t>
      </w:r>
      <w:r w:rsidR="00E413FC">
        <w:rPr>
          <w:rFonts w:ascii="Calibri" w:hAnsi="Calibri" w:cs="Times New Roman"/>
        </w:rPr>
        <w:t xml:space="preserve">. </w:t>
      </w:r>
      <w:r w:rsidR="00B13F28">
        <w:rPr>
          <w:rFonts w:ascii="Calibri" w:hAnsi="Calibri" w:cs="Times New Roman"/>
        </w:rPr>
        <w:t>As</w:t>
      </w:r>
      <w:r w:rsidR="00217CFA" w:rsidRPr="001215B9">
        <w:rPr>
          <w:rFonts w:ascii="Calibri" w:hAnsi="Calibri" w:cs="Times New Roman"/>
        </w:rPr>
        <w:t xml:space="preserve"> export of</w:t>
      </w:r>
      <w:r w:rsidR="007D313C">
        <w:rPr>
          <w:rFonts w:ascii="Calibri" w:hAnsi="Calibri" w:cs="Times New Roman"/>
        </w:rPr>
        <w:t xml:space="preserve"> </w:t>
      </w:r>
      <w:r w:rsidR="00217CFA" w:rsidRPr="001215B9">
        <w:rPr>
          <w:rFonts w:ascii="Calibri" w:hAnsi="Calibri" w:cs="Times New Roman"/>
        </w:rPr>
        <w:t>labour</w:t>
      </w:r>
      <w:r w:rsidR="007D313C">
        <w:rPr>
          <w:rFonts w:ascii="Calibri" w:hAnsi="Calibri" w:cs="Times New Roman"/>
        </w:rPr>
        <w:t xml:space="preserve"> </w:t>
      </w:r>
      <w:r w:rsidR="006D79DC" w:rsidRPr="001215B9">
        <w:rPr>
          <w:rFonts w:ascii="Calibri" w:hAnsi="Calibri" w:cs="Times New Roman"/>
        </w:rPr>
        <w:t>w</w:t>
      </w:r>
      <w:r w:rsidR="006D79DC">
        <w:rPr>
          <w:rFonts w:ascii="Calibri" w:hAnsi="Calibri" w:cs="Times New Roman"/>
        </w:rPr>
        <w:t>as</w:t>
      </w:r>
      <w:r w:rsidR="007D313C">
        <w:rPr>
          <w:rFonts w:ascii="Calibri" w:hAnsi="Calibri" w:cs="Times New Roman"/>
        </w:rPr>
        <w:t xml:space="preserve"> </w:t>
      </w:r>
      <w:r w:rsidR="006D79DC">
        <w:rPr>
          <w:rFonts w:ascii="Calibri" w:hAnsi="Calibri" w:cs="Times New Roman"/>
        </w:rPr>
        <w:t>initially</w:t>
      </w:r>
      <w:r w:rsidR="00217CFA" w:rsidRPr="001215B9">
        <w:rPr>
          <w:rFonts w:ascii="Calibri" w:hAnsi="Calibri" w:cs="Times New Roman"/>
        </w:rPr>
        <w:t xml:space="preserve"> not tackled by the multilateral negotiations</w:t>
      </w:r>
      <w:r w:rsidR="00B13F28">
        <w:rPr>
          <w:rFonts w:ascii="Calibri" w:hAnsi="Calibri" w:cs="Times New Roman"/>
        </w:rPr>
        <w:t xml:space="preserve">, </w:t>
      </w:r>
      <w:r w:rsidR="00217CFA" w:rsidRPr="001215B9">
        <w:rPr>
          <w:rFonts w:ascii="Calibri" w:hAnsi="Calibri" w:cs="Times New Roman"/>
        </w:rPr>
        <w:t xml:space="preserve">developing countries </w:t>
      </w:r>
      <w:r w:rsidR="00B13F28">
        <w:rPr>
          <w:rFonts w:ascii="Calibri" w:hAnsi="Calibri" w:cs="Times New Roman"/>
        </w:rPr>
        <w:t xml:space="preserve">with labour surplus </w:t>
      </w:r>
      <w:r w:rsidR="00217CFA" w:rsidRPr="001215B9">
        <w:rPr>
          <w:rFonts w:ascii="Calibri" w:hAnsi="Calibri" w:cs="Times New Roman"/>
        </w:rPr>
        <w:t xml:space="preserve">requested the inclusion of </w:t>
      </w:r>
      <w:r w:rsidR="00B13F28">
        <w:rPr>
          <w:rFonts w:ascii="Calibri" w:hAnsi="Calibri" w:cs="Times New Roman"/>
        </w:rPr>
        <w:t>this</w:t>
      </w:r>
      <w:r w:rsidR="00217CFA" w:rsidRPr="001215B9">
        <w:rPr>
          <w:rFonts w:ascii="Calibri" w:hAnsi="Calibri" w:cs="Times New Roman"/>
        </w:rPr>
        <w:t xml:space="preserve"> factor in the negotiations</w:t>
      </w:r>
      <w:r w:rsidR="00F449EB">
        <w:rPr>
          <w:rFonts w:ascii="Calibri" w:hAnsi="Calibri" w:cs="Times New Roman"/>
        </w:rPr>
        <w:t>, calling for “symmetrical” commitments</w:t>
      </w:r>
      <w:r w:rsidR="007D313C">
        <w:rPr>
          <w:rFonts w:ascii="Calibri" w:hAnsi="Calibri" w:cs="Times New Roman"/>
        </w:rPr>
        <w:t xml:space="preserve"> </w:t>
      </w:r>
      <w:r w:rsidR="00B13F28" w:rsidRPr="001215B9">
        <w:rPr>
          <w:rFonts w:ascii="Calibri" w:hAnsi="Calibri" w:cs="Times New Roman"/>
        </w:rPr>
        <w:t>(Ghos</w:t>
      </w:r>
      <w:r w:rsidR="00B13F28">
        <w:rPr>
          <w:rFonts w:ascii="Calibri" w:hAnsi="Calibri" w:cs="Times New Roman"/>
        </w:rPr>
        <w:t>h 1997: 57ff).</w:t>
      </w:r>
    </w:p>
    <w:p w14:paraId="75D9A121" w14:textId="751959EF" w:rsidR="006317E4" w:rsidRPr="001215B9" w:rsidRDefault="00217CFA" w:rsidP="001215B9">
      <w:pPr>
        <w:spacing w:after="120" w:line="360" w:lineRule="auto"/>
        <w:jc w:val="both"/>
        <w:rPr>
          <w:rFonts w:ascii="Calibri" w:hAnsi="Calibri" w:cs="Times New Roman"/>
        </w:rPr>
      </w:pPr>
      <w:r w:rsidRPr="001215B9">
        <w:rPr>
          <w:rFonts w:ascii="Calibri" w:hAnsi="Calibri" w:cs="Times New Roman"/>
        </w:rPr>
        <w:t xml:space="preserve">The second round of negotiations (1989-1990) was then dominated by the clash of interest between developed </w:t>
      </w:r>
      <w:r w:rsidR="006317E4" w:rsidRPr="001215B9">
        <w:rPr>
          <w:rFonts w:ascii="Calibri" w:hAnsi="Calibri" w:cs="Times New Roman"/>
        </w:rPr>
        <w:t xml:space="preserve">and developing </w:t>
      </w:r>
      <w:r w:rsidRPr="001215B9">
        <w:rPr>
          <w:rFonts w:ascii="Calibri" w:hAnsi="Calibri" w:cs="Times New Roman"/>
        </w:rPr>
        <w:t>countries</w:t>
      </w:r>
      <w:r w:rsidR="006317E4" w:rsidRPr="001215B9">
        <w:rPr>
          <w:rFonts w:ascii="Calibri" w:hAnsi="Calibri" w:cs="Times New Roman"/>
        </w:rPr>
        <w:t xml:space="preserve"> on how to address </w:t>
      </w:r>
      <w:r w:rsidR="00913E1B">
        <w:rPr>
          <w:rFonts w:ascii="Calibri" w:hAnsi="Calibri" w:cs="Times New Roman"/>
        </w:rPr>
        <w:t>labour mobility</w:t>
      </w:r>
      <w:r w:rsidR="006317E4" w:rsidRPr="001215B9">
        <w:rPr>
          <w:rFonts w:ascii="Calibri" w:hAnsi="Calibri" w:cs="Times New Roman"/>
        </w:rPr>
        <w:t xml:space="preserve">. </w:t>
      </w:r>
      <w:r w:rsidR="006317E4" w:rsidRPr="001215B9">
        <w:rPr>
          <w:rFonts w:ascii="Calibri" w:hAnsi="Calibri"/>
        </w:rPr>
        <w:t xml:space="preserve">Western lobby, </w:t>
      </w:r>
      <w:r w:rsidR="00C45B03">
        <w:rPr>
          <w:rFonts w:ascii="Calibri" w:hAnsi="Calibri"/>
        </w:rPr>
        <w:t>particularly</w:t>
      </w:r>
      <w:r w:rsidR="006317E4" w:rsidRPr="001215B9">
        <w:rPr>
          <w:rFonts w:ascii="Calibri" w:hAnsi="Calibri"/>
        </w:rPr>
        <w:t xml:space="preserve"> the European Service Forum and the US Coalition of Service Industries, had persuaded their trade officials that certain provisions in domestic immigration laws constituted barriers to trade</w:t>
      </w:r>
      <w:r w:rsidR="008D1A73">
        <w:rPr>
          <w:rFonts w:ascii="Calibri" w:hAnsi="Calibri"/>
        </w:rPr>
        <w:t>,</w:t>
      </w:r>
      <w:r w:rsidR="006317E4" w:rsidRPr="001215B9">
        <w:rPr>
          <w:rFonts w:ascii="Calibri" w:hAnsi="Calibri"/>
        </w:rPr>
        <w:t xml:space="preserve"> inhibit</w:t>
      </w:r>
      <w:r w:rsidR="008D1A73">
        <w:rPr>
          <w:rFonts w:ascii="Calibri" w:hAnsi="Calibri"/>
        </w:rPr>
        <w:t>ing</w:t>
      </w:r>
      <w:r w:rsidR="006317E4" w:rsidRPr="001215B9">
        <w:rPr>
          <w:rFonts w:ascii="Calibri" w:hAnsi="Calibri"/>
        </w:rPr>
        <w:t xml:space="preserve"> the mobility within multinational</w:t>
      </w:r>
      <w:r w:rsidR="00C304F1">
        <w:rPr>
          <w:rFonts w:ascii="Calibri" w:hAnsi="Calibri"/>
        </w:rPr>
        <w:t>s</w:t>
      </w:r>
      <w:r w:rsidR="006317E4" w:rsidRPr="001215B9">
        <w:rPr>
          <w:rFonts w:ascii="Calibri" w:hAnsi="Calibri"/>
        </w:rPr>
        <w:t xml:space="preserve"> (Lavenex 2006, Panizzon, 2010). This led developed countries to </w:t>
      </w:r>
      <w:r w:rsidR="006317E4" w:rsidRPr="001215B9">
        <w:rPr>
          <w:rFonts w:ascii="Calibri" w:hAnsi="Calibri" w:cs="Times New Roman"/>
        </w:rPr>
        <w:t xml:space="preserve">favour </w:t>
      </w:r>
      <w:r w:rsidR="00822F0B">
        <w:rPr>
          <w:rFonts w:ascii="Calibri" w:hAnsi="Calibri" w:cs="Times New Roman"/>
        </w:rPr>
        <w:t>a limited liberalis</w:t>
      </w:r>
      <w:r w:rsidRPr="001215B9">
        <w:rPr>
          <w:rFonts w:ascii="Calibri" w:hAnsi="Calibri" w:cs="Times New Roman"/>
        </w:rPr>
        <w:t>ation of temporary labour</w:t>
      </w:r>
      <w:r w:rsidR="009719F6">
        <w:rPr>
          <w:rFonts w:ascii="Calibri" w:hAnsi="Calibri" w:cs="Times New Roman"/>
        </w:rPr>
        <w:t>,</w:t>
      </w:r>
      <w:r w:rsidR="00EF5D24">
        <w:rPr>
          <w:rFonts w:ascii="Calibri" w:hAnsi="Calibri" w:cs="Times New Roman"/>
        </w:rPr>
        <w:t xml:space="preserve"> </w:t>
      </w:r>
      <w:r w:rsidRPr="001215B9">
        <w:rPr>
          <w:rFonts w:ascii="Calibri" w:hAnsi="Calibri" w:cs="Times New Roman"/>
        </w:rPr>
        <w:t xml:space="preserve">primarily </w:t>
      </w:r>
      <w:r w:rsidR="006317E4" w:rsidRPr="001215B9">
        <w:rPr>
          <w:rFonts w:ascii="Calibri" w:hAnsi="Calibri" w:cs="Times New Roman"/>
        </w:rPr>
        <w:t xml:space="preserve">within </w:t>
      </w:r>
      <w:r w:rsidR="00824B66">
        <w:rPr>
          <w:rFonts w:ascii="Calibri" w:hAnsi="Calibri" w:cs="Times New Roman"/>
        </w:rPr>
        <w:t xml:space="preserve">multinational </w:t>
      </w:r>
      <w:r w:rsidR="006317E4" w:rsidRPr="001215B9">
        <w:rPr>
          <w:rFonts w:ascii="Calibri" w:hAnsi="Calibri" w:cs="Times New Roman"/>
        </w:rPr>
        <w:t xml:space="preserve">companies. Developing countries, in contrast, argued for a broader </w:t>
      </w:r>
      <w:r w:rsidR="00A6006F">
        <w:rPr>
          <w:rFonts w:ascii="Calibri" w:hAnsi="Calibri" w:cs="Times New Roman"/>
        </w:rPr>
        <w:t>liberalis</w:t>
      </w:r>
      <w:r w:rsidRPr="001215B9">
        <w:rPr>
          <w:rFonts w:ascii="Calibri" w:hAnsi="Calibri" w:cs="Times New Roman"/>
        </w:rPr>
        <w:t>ation. A group of eight countries</w:t>
      </w:r>
      <w:r w:rsidR="00EF5D24">
        <w:rPr>
          <w:rFonts w:ascii="Calibri" w:hAnsi="Calibri" w:cs="Times New Roman"/>
        </w:rPr>
        <w:t xml:space="preserve"> </w:t>
      </w:r>
      <w:r w:rsidRPr="001215B9">
        <w:rPr>
          <w:rFonts w:ascii="Calibri" w:hAnsi="Calibri" w:cs="Times New Roman"/>
        </w:rPr>
        <w:t>(Argentina, Columbia, Cuba, Egypt, India, Mexico, Pakistan, Peru) presented a proposal which foresaw</w:t>
      </w:r>
      <w:r w:rsidR="00CB06AF">
        <w:rPr>
          <w:rFonts w:ascii="Calibri" w:hAnsi="Calibri" w:cs="Times New Roman"/>
        </w:rPr>
        <w:t xml:space="preserve"> </w:t>
      </w:r>
      <w:r w:rsidRPr="001215B9">
        <w:rPr>
          <w:rFonts w:ascii="Calibri" w:hAnsi="Calibri" w:cs="Times New Roman"/>
        </w:rPr>
        <w:t>the (temporary) "cross-border movement of personnel covering unskilled, semi-skilled and skilled</w:t>
      </w:r>
      <w:r w:rsidR="00CB06AF">
        <w:rPr>
          <w:rFonts w:ascii="Calibri" w:hAnsi="Calibri" w:cs="Times New Roman"/>
        </w:rPr>
        <w:t xml:space="preserve"> </w:t>
      </w:r>
      <w:r w:rsidRPr="001215B9">
        <w:rPr>
          <w:rFonts w:ascii="Calibri" w:hAnsi="Calibri" w:cs="Times New Roman"/>
        </w:rPr>
        <w:t>labour" (Art. 1(3)1) "without arbitrary distinction relating to skills or position in corporate hierarchies"(Art. 2(3)) and without infringing on national immigration, residence or citizenship laws (Art. 1(4))</w:t>
      </w:r>
      <w:r w:rsidR="00D577EF" w:rsidRPr="001215B9">
        <w:rPr>
          <w:rStyle w:val="Funotenzeichen"/>
          <w:rFonts w:ascii="Calibri" w:hAnsi="Calibri" w:cs="Times New Roman"/>
        </w:rPr>
        <w:footnoteReference w:id="2"/>
      </w:r>
      <w:r w:rsidRPr="001215B9">
        <w:rPr>
          <w:rFonts w:ascii="Calibri" w:hAnsi="Calibri" w:cs="Times New Roman"/>
        </w:rPr>
        <w:t>. This</w:t>
      </w:r>
      <w:r w:rsidR="00CB06AF">
        <w:rPr>
          <w:rFonts w:ascii="Calibri" w:hAnsi="Calibri" w:cs="Times New Roman"/>
        </w:rPr>
        <w:t xml:space="preserve"> </w:t>
      </w:r>
      <w:r w:rsidRPr="001215B9">
        <w:rPr>
          <w:rFonts w:ascii="Calibri" w:hAnsi="Calibri" w:cs="Times New Roman"/>
        </w:rPr>
        <w:t xml:space="preserve">proposal not only extended the range of workers falling under the Agreement, </w:t>
      </w:r>
      <w:r w:rsidR="00730D30">
        <w:rPr>
          <w:rFonts w:ascii="Calibri" w:hAnsi="Calibri" w:cs="Times New Roman"/>
        </w:rPr>
        <w:t>but</w:t>
      </w:r>
      <w:r w:rsidR="00CB06AF">
        <w:rPr>
          <w:rFonts w:ascii="Calibri" w:hAnsi="Calibri" w:cs="Times New Roman"/>
        </w:rPr>
        <w:t xml:space="preserve"> </w:t>
      </w:r>
      <w:r w:rsidRPr="001215B9">
        <w:rPr>
          <w:rFonts w:ascii="Calibri" w:hAnsi="Calibri" w:cs="Times New Roman"/>
        </w:rPr>
        <w:t>also suggested to</w:t>
      </w:r>
      <w:r w:rsidR="00CB06AF">
        <w:rPr>
          <w:rFonts w:ascii="Calibri" w:hAnsi="Calibri" w:cs="Times New Roman"/>
        </w:rPr>
        <w:t xml:space="preserve"> </w:t>
      </w:r>
      <w:r w:rsidRPr="001215B9">
        <w:rPr>
          <w:rFonts w:ascii="Calibri" w:hAnsi="Calibri" w:cs="Times New Roman"/>
        </w:rPr>
        <w:t>"permit firms providing services for which access has been granted under the Framework to recruit</w:t>
      </w:r>
      <w:r w:rsidR="00CB06AF">
        <w:rPr>
          <w:rFonts w:ascii="Calibri" w:hAnsi="Calibri" w:cs="Times New Roman"/>
        </w:rPr>
        <w:t xml:space="preserve"> </w:t>
      </w:r>
      <w:r w:rsidRPr="001215B9">
        <w:rPr>
          <w:rFonts w:ascii="Calibri" w:hAnsi="Calibri" w:cs="Times New Roman"/>
        </w:rPr>
        <w:t>personnel from the source, among countries signatory,</w:t>
      </w:r>
      <w:r w:rsidR="00CB06AF">
        <w:rPr>
          <w:rFonts w:ascii="Calibri" w:hAnsi="Calibri" w:cs="Times New Roman"/>
        </w:rPr>
        <w:t xml:space="preserve"> </w:t>
      </w:r>
      <w:r w:rsidRPr="001215B9">
        <w:rPr>
          <w:rFonts w:ascii="Calibri" w:hAnsi="Calibri" w:cs="Times New Roman"/>
        </w:rPr>
        <w:t>which is economically most</w:t>
      </w:r>
      <w:r w:rsidR="00CB06AF">
        <w:rPr>
          <w:rFonts w:ascii="Calibri" w:hAnsi="Calibri" w:cs="Times New Roman"/>
        </w:rPr>
        <w:t xml:space="preserve"> </w:t>
      </w:r>
      <w:r w:rsidRPr="001215B9">
        <w:rPr>
          <w:rFonts w:ascii="Calibri" w:hAnsi="Calibri" w:cs="Times New Roman"/>
        </w:rPr>
        <w:t>advantageous" (Art. 3(1)), thus introducing free competition over the production factor 'labour'.</w:t>
      </w:r>
    </w:p>
    <w:p w14:paraId="39077722" w14:textId="63F66CD2" w:rsidR="002237F8" w:rsidRPr="001215B9" w:rsidRDefault="00217CFA" w:rsidP="001215B9">
      <w:pPr>
        <w:spacing w:after="120" w:line="360" w:lineRule="auto"/>
        <w:jc w:val="both"/>
        <w:rPr>
          <w:rFonts w:ascii="Calibri" w:hAnsi="Calibri" w:cs="Times New Roman"/>
        </w:rPr>
      </w:pPr>
      <w:r w:rsidRPr="001215B9">
        <w:rPr>
          <w:rFonts w:ascii="Calibri" w:hAnsi="Calibri" w:cs="Times New Roman"/>
        </w:rPr>
        <w:lastRenderedPageBreak/>
        <w:t xml:space="preserve">The result of the GATS was an open compromise reached one year after </w:t>
      </w:r>
      <w:r w:rsidR="00450CDD">
        <w:rPr>
          <w:rFonts w:ascii="Calibri" w:hAnsi="Calibri" w:cs="Times New Roman"/>
        </w:rPr>
        <w:t xml:space="preserve">the </w:t>
      </w:r>
      <w:r w:rsidRPr="001215B9">
        <w:rPr>
          <w:rFonts w:ascii="Calibri" w:hAnsi="Calibri" w:cs="Times New Roman"/>
        </w:rPr>
        <w:t>conclusion of the</w:t>
      </w:r>
      <w:r w:rsidR="00E52D76">
        <w:rPr>
          <w:rFonts w:ascii="Calibri" w:hAnsi="Calibri" w:cs="Times New Roman"/>
        </w:rPr>
        <w:t xml:space="preserve"> </w:t>
      </w:r>
      <w:r w:rsidRPr="001215B9">
        <w:rPr>
          <w:rFonts w:ascii="Calibri" w:hAnsi="Calibri" w:cs="Times New Roman"/>
        </w:rPr>
        <w:t>Uruguay Round in July 1995. Accordingly, "Members may negotiate specific commitments applying to</w:t>
      </w:r>
      <w:r w:rsidR="00E52D76">
        <w:rPr>
          <w:rFonts w:ascii="Calibri" w:hAnsi="Calibri" w:cs="Times New Roman"/>
        </w:rPr>
        <w:t xml:space="preserve"> </w:t>
      </w:r>
      <w:r w:rsidRPr="001215B9">
        <w:rPr>
          <w:rFonts w:ascii="Calibri" w:hAnsi="Calibri" w:cs="Times New Roman"/>
        </w:rPr>
        <w:t>the movement of all categories of natural persons supplying services...".</w:t>
      </w:r>
      <w:r w:rsidR="00DC275C" w:rsidRPr="001215B9">
        <w:rPr>
          <w:rStyle w:val="Funotenzeichen"/>
          <w:rFonts w:ascii="Calibri" w:hAnsi="Calibri" w:cs="Times New Roman"/>
        </w:rPr>
        <w:footnoteReference w:id="3"/>
      </w:r>
      <w:r w:rsidRPr="001215B9">
        <w:rPr>
          <w:rFonts w:ascii="Calibri" w:hAnsi="Calibri" w:cs="Times New Roman"/>
        </w:rPr>
        <w:t xml:space="preserve"> This includes both service</w:t>
      </w:r>
      <w:r w:rsidR="00E52D76">
        <w:rPr>
          <w:rFonts w:ascii="Calibri" w:hAnsi="Calibri" w:cs="Times New Roman"/>
        </w:rPr>
        <w:t xml:space="preserve"> </w:t>
      </w:r>
      <w:r w:rsidRPr="001215B9">
        <w:rPr>
          <w:rFonts w:ascii="Calibri" w:hAnsi="Calibri" w:cs="Times New Roman"/>
        </w:rPr>
        <w:t>suppliers who are employed by a foreign or national firm and independent workers. While the Treaty</w:t>
      </w:r>
      <w:r w:rsidR="00E52D76">
        <w:rPr>
          <w:rFonts w:ascii="Calibri" w:hAnsi="Calibri" w:cs="Times New Roman"/>
        </w:rPr>
        <w:t xml:space="preserve"> </w:t>
      </w:r>
      <w:r w:rsidRPr="001215B9">
        <w:rPr>
          <w:rFonts w:ascii="Calibri" w:hAnsi="Calibri" w:cs="Times New Roman"/>
        </w:rPr>
        <w:t>thus adopted the open formulation favoured by the developing countries (irrespective of skills and</w:t>
      </w:r>
      <w:r w:rsidR="00E52D76">
        <w:rPr>
          <w:rFonts w:ascii="Calibri" w:hAnsi="Calibri" w:cs="Times New Roman"/>
        </w:rPr>
        <w:t xml:space="preserve"> </w:t>
      </w:r>
      <w:r w:rsidRPr="001215B9">
        <w:rPr>
          <w:rFonts w:ascii="Calibri" w:hAnsi="Calibri" w:cs="Times New Roman"/>
        </w:rPr>
        <w:t>hierarchical position), the actual scope of liberalization was however left to the Members' own</w:t>
      </w:r>
      <w:r w:rsidR="00E52D76">
        <w:rPr>
          <w:rFonts w:ascii="Calibri" w:hAnsi="Calibri" w:cs="Times New Roman"/>
        </w:rPr>
        <w:t xml:space="preserve"> </w:t>
      </w:r>
      <w:r w:rsidRPr="001215B9">
        <w:rPr>
          <w:rFonts w:ascii="Calibri" w:hAnsi="Calibri" w:cs="Times New Roman"/>
        </w:rPr>
        <w:t xml:space="preserve">commitments laid down in the </w:t>
      </w:r>
      <w:r w:rsidR="00471158">
        <w:rPr>
          <w:rFonts w:ascii="Calibri" w:hAnsi="Calibri" w:cs="Times New Roman"/>
        </w:rPr>
        <w:t xml:space="preserve">GATS </w:t>
      </w:r>
      <w:r w:rsidRPr="001215B9">
        <w:rPr>
          <w:rFonts w:ascii="Calibri" w:hAnsi="Calibri" w:cs="Times New Roman"/>
        </w:rPr>
        <w:t xml:space="preserve">schedules. </w:t>
      </w:r>
    </w:p>
    <w:p w14:paraId="6E722ED6" w14:textId="32A824DC" w:rsidR="001F43D3" w:rsidRPr="001215B9" w:rsidRDefault="006317E4" w:rsidP="001215B9">
      <w:pPr>
        <w:spacing w:after="120" w:line="360" w:lineRule="auto"/>
        <w:jc w:val="both"/>
        <w:rPr>
          <w:rFonts w:ascii="Calibri" w:hAnsi="Calibri" w:cs="Times New Roman"/>
          <w:lang w:val="en-US"/>
        </w:rPr>
      </w:pPr>
      <w:r w:rsidRPr="001215B9">
        <w:rPr>
          <w:rFonts w:ascii="Calibri" w:hAnsi="Calibri" w:cs="Times New Roman"/>
        </w:rPr>
        <w:t>This legal framework still determines the multilateral level of commitment</w:t>
      </w:r>
      <w:r w:rsidR="00050691" w:rsidRPr="001215B9">
        <w:rPr>
          <w:rFonts w:ascii="Calibri" w:hAnsi="Calibri" w:cs="Times New Roman"/>
        </w:rPr>
        <w:t>s</w:t>
      </w:r>
      <w:r w:rsidR="00E52D76">
        <w:rPr>
          <w:rFonts w:ascii="Calibri" w:hAnsi="Calibri" w:cs="Times New Roman"/>
        </w:rPr>
        <w:t xml:space="preserve"> </w:t>
      </w:r>
      <w:r w:rsidR="00050691" w:rsidRPr="001215B9">
        <w:rPr>
          <w:rFonts w:ascii="Calibri" w:hAnsi="Calibri" w:cs="Times New Roman"/>
        </w:rPr>
        <w:t xml:space="preserve">in </w:t>
      </w:r>
      <w:r w:rsidRPr="001215B9">
        <w:rPr>
          <w:rFonts w:ascii="Calibri" w:hAnsi="Calibri" w:cs="Times New Roman"/>
        </w:rPr>
        <w:t xml:space="preserve">"mode 4". In the Doha round, labour mobility continued to be high on developing countries' agenda, and for some emerging markets, </w:t>
      </w:r>
      <w:r w:rsidR="002C78DC">
        <w:rPr>
          <w:rFonts w:ascii="Calibri" w:hAnsi="Calibri" w:cs="Times New Roman"/>
        </w:rPr>
        <w:t xml:space="preserve">like </w:t>
      </w:r>
      <w:r w:rsidRPr="001215B9">
        <w:rPr>
          <w:rFonts w:ascii="Calibri" w:hAnsi="Calibri" w:cs="Times New Roman"/>
        </w:rPr>
        <w:t xml:space="preserve">India, it </w:t>
      </w:r>
      <w:r w:rsidR="00824B66">
        <w:rPr>
          <w:rFonts w:ascii="Calibri" w:hAnsi="Calibri" w:cs="Times New Roman"/>
        </w:rPr>
        <w:t xml:space="preserve">still </w:t>
      </w:r>
      <w:r w:rsidRPr="001215B9">
        <w:rPr>
          <w:rFonts w:ascii="Calibri" w:hAnsi="Calibri" w:cs="Times New Roman"/>
        </w:rPr>
        <w:t>constitutes "on</w:t>
      </w:r>
      <w:r w:rsidR="00663282" w:rsidRPr="001215B9">
        <w:rPr>
          <w:rFonts w:ascii="Calibri" w:hAnsi="Calibri" w:cs="Times New Roman"/>
        </w:rPr>
        <w:t>e</w:t>
      </w:r>
      <w:r w:rsidRPr="001215B9">
        <w:rPr>
          <w:rFonts w:ascii="Calibri" w:hAnsi="Calibri" w:cs="Times New Roman"/>
        </w:rPr>
        <w:t xml:space="preserve"> of the most offensive interest" in trade negotiations (</w:t>
      </w:r>
      <w:r w:rsidR="00B37B3E" w:rsidRPr="00612C20">
        <w:rPr>
          <w:rFonts w:ascii="Calibri" w:hAnsi="Calibri" w:cs="Times New Roman"/>
        </w:rPr>
        <w:t xml:space="preserve">Interview </w:t>
      </w:r>
      <w:r w:rsidR="00AB6C79">
        <w:rPr>
          <w:rFonts w:ascii="Calibri" w:hAnsi="Calibri" w:cs="Times New Roman"/>
        </w:rPr>
        <w:t>1</w:t>
      </w:r>
      <w:r w:rsidR="00CB4F5C">
        <w:rPr>
          <w:rStyle w:val="Funotenzeichen"/>
          <w:rFonts w:ascii="Calibri" w:hAnsi="Calibri" w:cs="Times New Roman"/>
        </w:rPr>
        <w:footnoteReference w:id="4"/>
      </w:r>
      <w:r w:rsidRPr="001215B9">
        <w:rPr>
          <w:rFonts w:ascii="Calibri" w:hAnsi="Calibri" w:cs="Times New Roman"/>
        </w:rPr>
        <w:t>)</w:t>
      </w:r>
      <w:r w:rsidR="00217CFA" w:rsidRPr="001215B9">
        <w:rPr>
          <w:rFonts w:ascii="Calibri" w:hAnsi="Calibri" w:cs="Times New Roman"/>
        </w:rPr>
        <w:t>.</w:t>
      </w:r>
      <w:r w:rsidR="00334190" w:rsidRPr="001215B9">
        <w:rPr>
          <w:rFonts w:ascii="Calibri" w:hAnsi="Calibri" w:cs="Times New Roman"/>
        </w:rPr>
        <w:t xml:space="preserve"> In 2008, </w:t>
      </w:r>
      <w:r w:rsidR="00663282" w:rsidRPr="001215B9">
        <w:rPr>
          <w:rFonts w:ascii="Calibri" w:hAnsi="Calibri" w:cs="Times New Roman"/>
          <w:lang w:val="en-US"/>
        </w:rPr>
        <w:t xml:space="preserve">developing countries </w:t>
      </w:r>
      <w:r w:rsidR="00334190" w:rsidRPr="001215B9">
        <w:rPr>
          <w:rFonts w:ascii="Calibri" w:hAnsi="Calibri" w:cs="Times New Roman"/>
          <w:lang w:val="en-US"/>
        </w:rPr>
        <w:t xml:space="preserve">formed again a </w:t>
      </w:r>
      <w:r w:rsidR="00663282" w:rsidRPr="001215B9">
        <w:rPr>
          <w:rFonts w:ascii="Calibri" w:hAnsi="Calibri" w:cs="Times New Roman"/>
          <w:lang w:val="en-US"/>
        </w:rPr>
        <w:t xml:space="preserve">coalition in the WTO </w:t>
      </w:r>
      <w:r w:rsidR="00334190" w:rsidRPr="001215B9">
        <w:rPr>
          <w:rFonts w:ascii="Calibri" w:hAnsi="Calibri" w:cs="Times New Roman"/>
          <w:lang w:val="en-US"/>
        </w:rPr>
        <w:t xml:space="preserve">submitting a </w:t>
      </w:r>
      <w:r w:rsidR="00663282" w:rsidRPr="001215B9">
        <w:rPr>
          <w:rFonts w:ascii="Calibri" w:hAnsi="Calibri" w:cs="Times New Roman"/>
          <w:lang w:val="en-US"/>
        </w:rPr>
        <w:t>“Plurilateral request on services”</w:t>
      </w:r>
      <w:r w:rsidR="00663282" w:rsidRPr="001215B9">
        <w:rPr>
          <w:rStyle w:val="Funotenzeichen"/>
          <w:rFonts w:ascii="Calibri" w:hAnsi="Calibri" w:cs="Times New Roman"/>
          <w:lang w:val="en-US"/>
        </w:rPr>
        <w:footnoteReference w:id="5"/>
      </w:r>
      <w:r w:rsidR="00BE04C0">
        <w:rPr>
          <w:rFonts w:ascii="Calibri" w:hAnsi="Calibri" w:cs="Times New Roman"/>
          <w:lang w:val="en-US"/>
        </w:rPr>
        <w:t xml:space="preserve"> </w:t>
      </w:r>
      <w:r w:rsidR="00663282" w:rsidRPr="001215B9">
        <w:rPr>
          <w:rFonts w:ascii="Calibri" w:hAnsi="Calibri" w:cs="Times New Roman"/>
          <w:lang w:val="en-US"/>
        </w:rPr>
        <w:t>call</w:t>
      </w:r>
      <w:r w:rsidR="00824B66">
        <w:rPr>
          <w:rFonts w:ascii="Calibri" w:hAnsi="Calibri" w:cs="Times New Roman"/>
          <w:lang w:val="en-US"/>
        </w:rPr>
        <w:t>ing</w:t>
      </w:r>
      <w:r w:rsidR="00663282" w:rsidRPr="001215B9">
        <w:rPr>
          <w:rFonts w:ascii="Calibri" w:hAnsi="Calibri" w:cs="Times New Roman"/>
          <w:lang w:val="en-US"/>
        </w:rPr>
        <w:t xml:space="preserve"> for </w:t>
      </w:r>
      <w:r w:rsidR="00F06544">
        <w:rPr>
          <w:rFonts w:ascii="Calibri" w:hAnsi="Calibri" w:cs="Times New Roman"/>
          <w:lang w:val="en-US"/>
        </w:rPr>
        <w:t>wider</w:t>
      </w:r>
      <w:r w:rsidR="00E52D76">
        <w:rPr>
          <w:rFonts w:ascii="Calibri" w:hAnsi="Calibri" w:cs="Times New Roman"/>
          <w:lang w:val="en-US"/>
        </w:rPr>
        <w:t xml:space="preserve"> </w:t>
      </w:r>
      <w:r w:rsidR="00663282" w:rsidRPr="001215B9">
        <w:rPr>
          <w:rFonts w:ascii="Calibri" w:hAnsi="Calibri" w:cs="Times New Roman"/>
          <w:lang w:val="en-US"/>
        </w:rPr>
        <w:t>commitments for Contractual Service Suppliers (CSSs) and Independent Professionals (IPs)</w:t>
      </w:r>
      <w:r w:rsidR="006F24C6">
        <w:rPr>
          <w:rFonts w:ascii="Calibri" w:hAnsi="Calibri" w:cs="Times New Roman"/>
          <w:lang w:val="en-US"/>
        </w:rPr>
        <w:t xml:space="preserve"> – </w:t>
      </w:r>
      <w:r w:rsidR="00663282" w:rsidRPr="001215B9">
        <w:rPr>
          <w:rFonts w:ascii="Calibri" w:hAnsi="Calibri" w:cs="Times New Roman"/>
          <w:lang w:val="en-US"/>
        </w:rPr>
        <w:t>categories de-linked from commercial presence</w:t>
      </w:r>
      <w:r w:rsidR="000E4C16">
        <w:rPr>
          <w:rFonts w:ascii="Calibri" w:hAnsi="Calibri" w:cs="Times New Roman"/>
          <w:lang w:val="en-US"/>
        </w:rPr>
        <w:t xml:space="preserve">, as well as for the </w:t>
      </w:r>
      <w:r w:rsidR="00663282" w:rsidRPr="001215B9">
        <w:rPr>
          <w:rFonts w:ascii="Calibri" w:hAnsi="Calibri" w:cs="Times New Roman"/>
          <w:lang w:val="en-US"/>
        </w:rPr>
        <w:t xml:space="preserve">removal of </w:t>
      </w:r>
      <w:r w:rsidR="00334190" w:rsidRPr="001215B9">
        <w:rPr>
          <w:rFonts w:ascii="Calibri" w:hAnsi="Calibri" w:cs="Times New Roman"/>
          <w:lang w:val="en-US"/>
        </w:rPr>
        <w:t>economic needs tests (</w:t>
      </w:r>
      <w:r w:rsidR="00663282" w:rsidRPr="001215B9">
        <w:rPr>
          <w:rFonts w:ascii="Calibri" w:hAnsi="Calibri" w:cs="Times New Roman"/>
          <w:lang w:val="en-US"/>
        </w:rPr>
        <w:t>ENTs</w:t>
      </w:r>
      <w:r w:rsidR="00334190" w:rsidRPr="001215B9">
        <w:rPr>
          <w:rFonts w:ascii="Calibri" w:hAnsi="Calibri" w:cs="Times New Roman"/>
          <w:lang w:val="en-US"/>
        </w:rPr>
        <w:t>)</w:t>
      </w:r>
      <w:r w:rsidR="00663282" w:rsidRPr="001215B9">
        <w:rPr>
          <w:rFonts w:ascii="Calibri" w:hAnsi="Calibri" w:cs="Times New Roman"/>
          <w:lang w:val="en-US"/>
        </w:rPr>
        <w:t>.</w:t>
      </w:r>
      <w:r w:rsidR="003E4A22">
        <w:rPr>
          <w:rStyle w:val="Funotenzeichen"/>
          <w:rFonts w:ascii="Calibri" w:hAnsi="Calibri"/>
          <w:spacing w:val="-1"/>
        </w:rPr>
        <w:footnoteReference w:id="6"/>
      </w:r>
      <w:r w:rsidR="00663282" w:rsidRPr="001215B9">
        <w:rPr>
          <w:rFonts w:ascii="Calibri" w:hAnsi="Calibri" w:cs="Times New Roman"/>
          <w:lang w:val="en-US"/>
        </w:rPr>
        <w:t xml:space="preserve"> Statement papers, submitted by India, </w:t>
      </w:r>
      <w:r w:rsidR="00450CDD">
        <w:rPr>
          <w:rFonts w:ascii="Calibri" w:hAnsi="Calibri" w:cs="Times New Roman"/>
          <w:lang w:val="en-US"/>
        </w:rPr>
        <w:t>and</w:t>
      </w:r>
      <w:r w:rsidR="00A93A61">
        <w:rPr>
          <w:rFonts w:ascii="Calibri" w:hAnsi="Calibri" w:cs="Times New Roman"/>
          <w:lang w:val="en-US"/>
        </w:rPr>
        <w:t xml:space="preserve"> </w:t>
      </w:r>
      <w:r w:rsidR="00663282" w:rsidRPr="001215B9">
        <w:rPr>
          <w:rFonts w:ascii="Calibri" w:hAnsi="Calibri" w:cs="Times New Roman"/>
          <w:lang w:val="en-US"/>
        </w:rPr>
        <w:t xml:space="preserve">backed by Mexico </w:t>
      </w:r>
      <w:r w:rsidR="00BA3105">
        <w:rPr>
          <w:rFonts w:ascii="Calibri" w:hAnsi="Calibri" w:cs="Times New Roman"/>
          <w:lang w:val="en-US"/>
        </w:rPr>
        <w:t>further</w:t>
      </w:r>
      <w:r w:rsidR="00A93A61">
        <w:rPr>
          <w:rFonts w:ascii="Calibri" w:hAnsi="Calibri" w:cs="Times New Roman"/>
          <w:lang w:val="en-US"/>
        </w:rPr>
        <w:t xml:space="preserve"> </w:t>
      </w:r>
      <w:r w:rsidR="00FF1AB0">
        <w:rPr>
          <w:rFonts w:ascii="Calibri" w:hAnsi="Calibri" w:cs="Times New Roman"/>
          <w:lang w:val="en-US"/>
        </w:rPr>
        <w:t>requested</w:t>
      </w:r>
      <w:r w:rsidR="00663282" w:rsidRPr="001215B9">
        <w:rPr>
          <w:rFonts w:ascii="Calibri" w:hAnsi="Calibri" w:cs="Times New Roman"/>
          <w:lang w:val="en-US"/>
        </w:rPr>
        <w:t xml:space="preserve"> broader sectoral coverage and market diversification, longer periods of stay, elimination of quota restrictions, </w:t>
      </w:r>
      <w:r w:rsidR="006A500B">
        <w:rPr>
          <w:rFonts w:ascii="Calibri" w:hAnsi="Calibri" w:cs="Times New Roman"/>
          <w:lang w:val="en-US"/>
        </w:rPr>
        <w:t xml:space="preserve">removal </w:t>
      </w:r>
      <w:r w:rsidR="00663282" w:rsidRPr="001215B9">
        <w:rPr>
          <w:rFonts w:ascii="Calibri" w:hAnsi="Calibri" w:cs="Times New Roman"/>
          <w:lang w:val="en-US"/>
        </w:rPr>
        <w:t>of the wage parity clause</w:t>
      </w:r>
      <w:r w:rsidR="006A500B">
        <w:rPr>
          <w:rFonts w:ascii="Calibri" w:hAnsi="Calibri" w:cs="Times New Roman"/>
          <w:lang w:val="en-US"/>
        </w:rPr>
        <w:t xml:space="preserve">, </w:t>
      </w:r>
      <w:r w:rsidR="00663282" w:rsidRPr="001215B9">
        <w:rPr>
          <w:rFonts w:ascii="Calibri" w:hAnsi="Calibri" w:cs="Times New Roman"/>
          <w:lang w:val="en-US"/>
        </w:rPr>
        <w:t xml:space="preserve">introduction of GATS visas or a Business Travel Card </w:t>
      </w:r>
      <w:r w:rsidR="000E4C16">
        <w:rPr>
          <w:rFonts w:ascii="Calibri" w:hAnsi="Calibri" w:cs="Times New Roman"/>
          <w:lang w:val="en-US"/>
        </w:rPr>
        <w:t xml:space="preserve">facilitating mobility </w:t>
      </w:r>
      <w:r w:rsidR="004F6337">
        <w:rPr>
          <w:rFonts w:ascii="Calibri" w:hAnsi="Calibri" w:cs="Times New Roman"/>
          <w:lang w:val="en-US"/>
        </w:rPr>
        <w:t>(</w:t>
      </w:r>
      <w:r w:rsidR="004F6337" w:rsidRPr="00612C20">
        <w:rPr>
          <w:rFonts w:ascii="Calibri" w:hAnsi="Calibri" w:cs="Times New Roman"/>
          <w:lang w:val="en-US"/>
        </w:rPr>
        <w:t xml:space="preserve">Interview </w:t>
      </w:r>
      <w:r w:rsidR="00AB6C79">
        <w:rPr>
          <w:rFonts w:ascii="Calibri" w:hAnsi="Calibri" w:cs="Times New Roman"/>
          <w:lang w:val="en-US"/>
        </w:rPr>
        <w:t>2</w:t>
      </w:r>
      <w:r w:rsidR="004F6337">
        <w:rPr>
          <w:rFonts w:ascii="Calibri" w:hAnsi="Calibri" w:cs="Times New Roman"/>
          <w:lang w:val="en-US"/>
        </w:rPr>
        <w:t xml:space="preserve">). </w:t>
      </w:r>
      <w:r w:rsidR="007A4218">
        <w:rPr>
          <w:rFonts w:ascii="Calibri" w:hAnsi="Calibri" w:cs="Times New Roman"/>
          <w:lang w:val="en-US"/>
        </w:rPr>
        <w:t>As</w:t>
      </w:r>
      <w:r w:rsidR="00B06990">
        <w:rPr>
          <w:rFonts w:ascii="Calibri" w:hAnsi="Calibri" w:cs="Times New Roman"/>
          <w:lang w:val="en-US"/>
        </w:rPr>
        <w:t xml:space="preserve"> </w:t>
      </w:r>
      <w:r w:rsidR="001F43D3">
        <w:rPr>
          <w:rFonts w:ascii="Calibri" w:hAnsi="Calibri" w:cs="Times New Roman"/>
          <w:lang w:val="en-US"/>
        </w:rPr>
        <w:t xml:space="preserve">no progress has been achieved in the Doha negotiations, multilateral commitments on mode 4 </w:t>
      </w:r>
      <w:r w:rsidR="007A4218">
        <w:rPr>
          <w:rFonts w:ascii="Calibri" w:hAnsi="Calibri" w:cs="Times New Roman"/>
          <w:lang w:val="en-US"/>
        </w:rPr>
        <w:t>are still</w:t>
      </w:r>
      <w:r w:rsidR="001F43D3">
        <w:rPr>
          <w:rFonts w:ascii="Calibri" w:hAnsi="Calibri" w:cs="Times New Roman"/>
          <w:lang w:val="en-US"/>
        </w:rPr>
        <w:t xml:space="preserve"> governed by the </w:t>
      </w:r>
      <w:r w:rsidR="000E4C16">
        <w:rPr>
          <w:rFonts w:ascii="Calibri" w:hAnsi="Calibri" w:cs="Times New Roman"/>
          <w:lang w:val="en-US"/>
        </w:rPr>
        <w:t xml:space="preserve">1995 </w:t>
      </w:r>
      <w:r w:rsidR="001F43D3">
        <w:rPr>
          <w:rFonts w:ascii="Calibri" w:hAnsi="Calibri" w:cs="Times New Roman"/>
          <w:lang w:val="en-US"/>
        </w:rPr>
        <w:t xml:space="preserve">GATS </w:t>
      </w:r>
      <w:r w:rsidR="001A1E44">
        <w:rPr>
          <w:rFonts w:ascii="Calibri" w:hAnsi="Calibri" w:cs="Times New Roman"/>
          <w:lang w:val="en-US"/>
        </w:rPr>
        <w:t>Agreement. Below we review the</w:t>
      </w:r>
      <w:r w:rsidR="00A93A61">
        <w:rPr>
          <w:rFonts w:ascii="Calibri" w:hAnsi="Calibri" w:cs="Times New Roman"/>
          <w:lang w:val="en-US"/>
        </w:rPr>
        <w:t xml:space="preserve"> </w:t>
      </w:r>
      <w:r w:rsidR="000E4C16">
        <w:rPr>
          <w:rFonts w:ascii="Calibri" w:hAnsi="Calibri" w:cs="Times New Roman"/>
          <w:lang w:val="en-US"/>
        </w:rPr>
        <w:t>commitments</w:t>
      </w:r>
      <w:r w:rsidR="00A93A61">
        <w:rPr>
          <w:rFonts w:ascii="Calibri" w:hAnsi="Calibri" w:cs="Times New Roman"/>
          <w:lang w:val="en-US"/>
        </w:rPr>
        <w:t xml:space="preserve"> </w:t>
      </w:r>
      <w:r w:rsidR="001A1E44">
        <w:rPr>
          <w:rFonts w:ascii="Calibri" w:hAnsi="Calibri" w:cs="Times New Roman"/>
          <w:lang w:val="en-US"/>
        </w:rPr>
        <w:t>undertaken</w:t>
      </w:r>
      <w:r w:rsidR="001F43D3">
        <w:rPr>
          <w:rFonts w:ascii="Calibri" w:hAnsi="Calibri" w:cs="Times New Roman"/>
          <w:lang w:val="en-US"/>
        </w:rPr>
        <w:t xml:space="preserve"> by</w:t>
      </w:r>
      <w:r w:rsidR="000E4C16">
        <w:rPr>
          <w:rFonts w:ascii="Calibri" w:hAnsi="Calibri" w:cs="Times New Roman"/>
          <w:lang w:val="en-US"/>
        </w:rPr>
        <w:t xml:space="preserve"> the EU, the US and India, the country which has been most vocal in the expansion of the trade-migration ne</w:t>
      </w:r>
      <w:r w:rsidR="00A93A61">
        <w:rPr>
          <w:rFonts w:ascii="Calibri" w:hAnsi="Calibri" w:cs="Times New Roman"/>
          <w:lang w:val="en-US"/>
        </w:rPr>
        <w:t>xus</w:t>
      </w:r>
      <w:r w:rsidR="001F43D3">
        <w:rPr>
          <w:rFonts w:ascii="Calibri" w:hAnsi="Calibri" w:cs="Times New Roman"/>
          <w:lang w:val="en-US"/>
        </w:rPr>
        <w:t>.</w:t>
      </w:r>
    </w:p>
    <w:p w14:paraId="2D7BBFA1" w14:textId="77777777" w:rsidR="00334190" w:rsidRPr="001215B9" w:rsidRDefault="00334190" w:rsidP="001215B9">
      <w:pPr>
        <w:spacing w:after="120" w:line="360" w:lineRule="auto"/>
        <w:jc w:val="both"/>
        <w:rPr>
          <w:rFonts w:ascii="Calibri" w:hAnsi="Calibri" w:cs="Times New Roman"/>
          <w:lang w:val="en-US"/>
        </w:rPr>
      </w:pPr>
    </w:p>
    <w:p w14:paraId="7F734EF0" w14:textId="248D0F25" w:rsidR="00662AC2" w:rsidRPr="001215B9" w:rsidRDefault="002B71F4" w:rsidP="001215B9">
      <w:pPr>
        <w:spacing w:after="120" w:line="360" w:lineRule="auto"/>
        <w:jc w:val="both"/>
        <w:rPr>
          <w:rFonts w:ascii="Calibri" w:hAnsi="Calibri" w:cs="Times New Roman"/>
          <w:b/>
          <w:lang w:val="en-US"/>
        </w:rPr>
      </w:pPr>
      <w:r>
        <w:rPr>
          <w:rFonts w:ascii="Calibri" w:hAnsi="Calibri" w:cs="Times New Roman"/>
          <w:b/>
          <w:lang w:val="en-US"/>
        </w:rPr>
        <w:t>Scope of commitments under</w:t>
      </w:r>
      <w:r w:rsidR="00A93A61">
        <w:rPr>
          <w:rFonts w:ascii="Calibri" w:hAnsi="Calibri" w:cs="Times New Roman"/>
          <w:b/>
          <w:lang w:val="en-US"/>
        </w:rPr>
        <w:t xml:space="preserve"> </w:t>
      </w:r>
      <w:r w:rsidR="002237F8">
        <w:rPr>
          <w:rFonts w:ascii="Calibri" w:hAnsi="Calibri" w:cs="Times New Roman"/>
          <w:b/>
          <w:lang w:val="en-US"/>
        </w:rPr>
        <w:t>GATS</w:t>
      </w:r>
    </w:p>
    <w:p w14:paraId="05A84A06" w14:textId="331D2D94" w:rsidR="00662AC2" w:rsidRPr="001215B9" w:rsidRDefault="000B2B98" w:rsidP="00755E7E">
      <w:pPr>
        <w:spacing w:after="120" w:line="360" w:lineRule="auto"/>
        <w:jc w:val="both"/>
        <w:rPr>
          <w:rFonts w:ascii="Calibri" w:hAnsi="Calibri"/>
          <w:lang w:val="en-US"/>
        </w:rPr>
      </w:pPr>
      <w:r>
        <w:rPr>
          <w:rFonts w:ascii="Calibri" w:hAnsi="Calibri" w:cs="Times New Roman"/>
          <w:lang w:val="en-US"/>
        </w:rPr>
        <w:t>T</w:t>
      </w:r>
      <w:r w:rsidR="00662AC2" w:rsidRPr="001215B9">
        <w:rPr>
          <w:rFonts w:ascii="Calibri" w:hAnsi="Calibri" w:cs="Times New Roman"/>
          <w:lang w:val="en-US"/>
        </w:rPr>
        <w:t>he actual level of market access</w:t>
      </w:r>
      <w:r w:rsidR="003957B2" w:rsidRPr="001215B9">
        <w:rPr>
          <w:rFonts w:ascii="Calibri" w:hAnsi="Calibri" w:cs="Times New Roman"/>
          <w:lang w:val="en-US"/>
        </w:rPr>
        <w:t xml:space="preserve"> for mode 4</w:t>
      </w:r>
      <w:r w:rsidR="00662AC2" w:rsidRPr="001215B9">
        <w:rPr>
          <w:rFonts w:ascii="Calibri" w:hAnsi="Calibri" w:cs="Times New Roman"/>
          <w:lang w:val="en-US"/>
        </w:rPr>
        <w:t xml:space="preserve"> reached under the GATS is very limited</w:t>
      </w:r>
      <w:r w:rsidR="00096F81">
        <w:rPr>
          <w:rFonts w:ascii="Calibri" w:hAnsi="Calibri" w:cs="Times New Roman"/>
          <w:lang w:val="en-US"/>
        </w:rPr>
        <w:t>, fo</w:t>
      </w:r>
      <w:r w:rsidR="00632D83">
        <w:rPr>
          <w:rFonts w:ascii="Calibri" w:hAnsi="Calibri" w:cs="Times New Roman"/>
          <w:lang w:val="en-US"/>
        </w:rPr>
        <w:t>llowing a positive-</w:t>
      </w:r>
      <w:r w:rsidR="00096F81">
        <w:rPr>
          <w:rFonts w:ascii="Calibri" w:hAnsi="Calibri" w:cs="Times New Roman"/>
          <w:lang w:val="en-US"/>
        </w:rPr>
        <w:t>listing approach</w:t>
      </w:r>
      <w:r w:rsidR="00096F81">
        <w:rPr>
          <w:rStyle w:val="Funotenzeichen"/>
          <w:rFonts w:ascii="Calibri" w:hAnsi="Calibri" w:cs="Times New Roman"/>
          <w:lang w:val="en-US"/>
        </w:rPr>
        <w:footnoteReference w:id="7"/>
      </w:r>
      <w:r w:rsidR="00B06990">
        <w:rPr>
          <w:rFonts w:ascii="Calibri" w:hAnsi="Calibri" w:cs="Times New Roman"/>
          <w:lang w:val="en-US"/>
        </w:rPr>
        <w:t xml:space="preserve"> </w:t>
      </w:r>
      <w:r w:rsidR="00755E7E">
        <w:rPr>
          <w:rFonts w:ascii="Calibri" w:hAnsi="Calibri" w:cs="Times New Roman"/>
          <w:lang w:val="en-US"/>
        </w:rPr>
        <w:t xml:space="preserve">and favoring the highly-skilled </w:t>
      </w:r>
      <w:r w:rsidR="00662AC2" w:rsidRPr="001215B9">
        <w:rPr>
          <w:rFonts w:ascii="Calibri" w:hAnsi="Calibri" w:cs="Times New Roman"/>
          <w:lang w:val="en-US"/>
        </w:rPr>
        <w:t>(</w:t>
      </w:r>
      <w:r w:rsidR="00B37B3E">
        <w:rPr>
          <w:rFonts w:ascii="Calibri" w:hAnsi="Calibri" w:cs="Times New Roman"/>
          <w:lang w:val="en-US"/>
        </w:rPr>
        <w:t>Dawson 2013</w:t>
      </w:r>
      <w:r w:rsidR="00662AC2" w:rsidRPr="001215B9">
        <w:rPr>
          <w:rFonts w:ascii="Calibri" w:hAnsi="Calibri" w:cs="Times New Roman"/>
          <w:lang w:val="en-US"/>
        </w:rPr>
        <w:t xml:space="preserve">). </w:t>
      </w:r>
      <w:r w:rsidR="0082793B" w:rsidRPr="001215B9">
        <w:rPr>
          <w:rFonts w:ascii="Calibri" w:hAnsi="Calibri"/>
          <w:spacing w:val="-1"/>
        </w:rPr>
        <w:t>According</w:t>
      </w:r>
      <w:r w:rsidR="0082793B" w:rsidRPr="001215B9">
        <w:rPr>
          <w:rFonts w:ascii="Calibri" w:hAnsi="Calibri"/>
          <w:spacing w:val="5"/>
        </w:rPr>
        <w:t xml:space="preserve"> to </w:t>
      </w:r>
      <w:r w:rsidR="0082793B" w:rsidRPr="001215B9">
        <w:rPr>
          <w:rFonts w:ascii="Calibri" w:hAnsi="Calibri"/>
          <w:spacing w:val="-1"/>
        </w:rPr>
        <w:t>an</w:t>
      </w:r>
      <w:r w:rsidR="00A93A61">
        <w:rPr>
          <w:rFonts w:ascii="Calibri" w:hAnsi="Calibri"/>
          <w:spacing w:val="-1"/>
        </w:rPr>
        <w:t xml:space="preserve"> </w:t>
      </w:r>
      <w:r w:rsidR="0082793B" w:rsidRPr="001215B9">
        <w:rPr>
          <w:rFonts w:ascii="Calibri" w:hAnsi="Calibri"/>
          <w:spacing w:val="-1"/>
        </w:rPr>
        <w:t>OECD</w:t>
      </w:r>
      <w:r w:rsidR="00A93A61">
        <w:rPr>
          <w:rFonts w:ascii="Calibri" w:hAnsi="Calibri"/>
          <w:spacing w:val="-1"/>
        </w:rPr>
        <w:t xml:space="preserve"> </w:t>
      </w:r>
      <w:r w:rsidR="0082793B" w:rsidRPr="001215B9">
        <w:rPr>
          <w:rFonts w:ascii="Calibri" w:hAnsi="Calibri"/>
          <w:spacing w:val="-1"/>
        </w:rPr>
        <w:t>analysis,</w:t>
      </w:r>
      <w:r w:rsidR="00A93A61">
        <w:rPr>
          <w:rFonts w:ascii="Calibri" w:hAnsi="Calibri"/>
          <w:spacing w:val="-1"/>
        </w:rPr>
        <w:t xml:space="preserve"> </w:t>
      </w:r>
      <w:r w:rsidR="0082793B" w:rsidRPr="001215B9">
        <w:rPr>
          <w:rFonts w:ascii="Calibri" w:hAnsi="Calibri"/>
          <w:spacing w:val="-1"/>
        </w:rPr>
        <w:t>240</w:t>
      </w:r>
      <w:r w:rsidR="00A93A61">
        <w:rPr>
          <w:rFonts w:ascii="Calibri" w:hAnsi="Calibri"/>
          <w:spacing w:val="-1"/>
        </w:rPr>
        <w:t xml:space="preserve"> </w:t>
      </w:r>
      <w:r w:rsidR="0082793B" w:rsidRPr="001215B9">
        <w:rPr>
          <w:rFonts w:ascii="Calibri" w:hAnsi="Calibri"/>
        </w:rPr>
        <w:t>out</w:t>
      </w:r>
      <w:r w:rsidR="00A93A61">
        <w:rPr>
          <w:rFonts w:ascii="Calibri" w:hAnsi="Calibri"/>
        </w:rPr>
        <w:t xml:space="preserve"> </w:t>
      </w:r>
      <w:r w:rsidR="0082793B" w:rsidRPr="001215B9">
        <w:rPr>
          <w:rFonts w:ascii="Calibri" w:hAnsi="Calibri"/>
        </w:rPr>
        <w:t xml:space="preserve">of </w:t>
      </w:r>
      <w:r w:rsidR="0082793B" w:rsidRPr="001215B9">
        <w:rPr>
          <w:rFonts w:ascii="Calibri" w:hAnsi="Calibri"/>
          <w:spacing w:val="-1"/>
        </w:rPr>
        <w:t>328</w:t>
      </w:r>
      <w:r w:rsidR="00A93A61">
        <w:rPr>
          <w:rFonts w:ascii="Calibri" w:hAnsi="Calibri"/>
          <w:spacing w:val="-1"/>
        </w:rPr>
        <w:t xml:space="preserve"> </w:t>
      </w:r>
      <w:r w:rsidR="0082793B" w:rsidRPr="001215B9">
        <w:rPr>
          <w:rFonts w:ascii="Calibri" w:hAnsi="Calibri"/>
          <w:spacing w:val="-1"/>
        </w:rPr>
        <w:t>entries</w:t>
      </w:r>
      <w:r w:rsidR="00A93A61">
        <w:rPr>
          <w:rFonts w:ascii="Calibri" w:hAnsi="Calibri"/>
          <w:spacing w:val="-1"/>
        </w:rPr>
        <w:t xml:space="preserve"> </w:t>
      </w:r>
      <w:r w:rsidR="0082793B" w:rsidRPr="001215B9">
        <w:rPr>
          <w:rFonts w:ascii="Calibri" w:hAnsi="Calibri"/>
          <w:spacing w:val="-1"/>
        </w:rPr>
        <w:t>relate</w:t>
      </w:r>
      <w:r w:rsidR="00A93A61">
        <w:rPr>
          <w:rFonts w:ascii="Calibri" w:hAnsi="Calibri"/>
          <w:spacing w:val="-1"/>
        </w:rPr>
        <w:t xml:space="preserve"> </w:t>
      </w:r>
      <w:r w:rsidR="0082793B" w:rsidRPr="001215B9">
        <w:rPr>
          <w:rFonts w:ascii="Calibri" w:hAnsi="Calibri"/>
          <w:spacing w:val="-1"/>
        </w:rPr>
        <w:t>to</w:t>
      </w:r>
      <w:r w:rsidR="00A93A61">
        <w:rPr>
          <w:rFonts w:ascii="Calibri" w:hAnsi="Calibri"/>
          <w:spacing w:val="-1"/>
        </w:rPr>
        <w:t xml:space="preserve"> </w:t>
      </w:r>
      <w:r w:rsidR="0082793B" w:rsidRPr="001215B9">
        <w:rPr>
          <w:rFonts w:ascii="Calibri" w:hAnsi="Calibri"/>
          <w:spacing w:val="-1"/>
        </w:rPr>
        <w:t>executives,</w:t>
      </w:r>
      <w:r w:rsidR="00A93A61">
        <w:rPr>
          <w:rFonts w:ascii="Calibri" w:hAnsi="Calibri"/>
          <w:spacing w:val="-1"/>
        </w:rPr>
        <w:t xml:space="preserve"> </w:t>
      </w:r>
      <w:r w:rsidR="0082793B" w:rsidRPr="001215B9">
        <w:rPr>
          <w:rFonts w:ascii="Calibri" w:hAnsi="Calibri"/>
          <w:spacing w:val="-1"/>
        </w:rPr>
        <w:t>managers</w:t>
      </w:r>
      <w:r w:rsidR="00A93A61">
        <w:rPr>
          <w:rFonts w:ascii="Calibri" w:hAnsi="Calibri"/>
          <w:spacing w:val="-1"/>
        </w:rPr>
        <w:t xml:space="preserve"> </w:t>
      </w:r>
      <w:r w:rsidR="0082793B" w:rsidRPr="001215B9">
        <w:rPr>
          <w:rFonts w:ascii="Calibri" w:hAnsi="Calibri"/>
          <w:spacing w:val="-1"/>
        </w:rPr>
        <w:t>and</w:t>
      </w:r>
      <w:r w:rsidR="00A93A61">
        <w:rPr>
          <w:rFonts w:ascii="Calibri" w:hAnsi="Calibri"/>
          <w:spacing w:val="-1"/>
        </w:rPr>
        <w:t xml:space="preserve"> </w:t>
      </w:r>
      <w:r w:rsidR="0082793B" w:rsidRPr="001215B9">
        <w:rPr>
          <w:rFonts w:ascii="Calibri" w:hAnsi="Calibri"/>
          <w:spacing w:val="-1"/>
        </w:rPr>
        <w:t>specialists</w:t>
      </w:r>
      <w:r w:rsidR="005C40D3">
        <w:rPr>
          <w:rFonts w:ascii="Calibri" w:hAnsi="Calibri"/>
          <w:spacing w:val="-1"/>
        </w:rPr>
        <w:t xml:space="preserve">, </w:t>
      </w:r>
      <w:r w:rsidR="00B72939">
        <w:rPr>
          <w:rFonts w:ascii="Calibri" w:hAnsi="Calibri"/>
          <w:spacing w:val="-1"/>
        </w:rPr>
        <w:t xml:space="preserve">and </w:t>
      </w:r>
      <w:r w:rsidR="0082793B" w:rsidRPr="001215B9">
        <w:rPr>
          <w:rFonts w:ascii="Calibri" w:hAnsi="Calibri"/>
          <w:spacing w:val="-1"/>
        </w:rPr>
        <w:t>135</w:t>
      </w:r>
      <w:r w:rsidR="00A93A61">
        <w:rPr>
          <w:rFonts w:ascii="Calibri" w:hAnsi="Calibri"/>
          <w:spacing w:val="-1"/>
        </w:rPr>
        <w:t xml:space="preserve"> </w:t>
      </w:r>
      <w:r w:rsidR="00B72939">
        <w:rPr>
          <w:rFonts w:ascii="Calibri" w:hAnsi="Calibri"/>
          <w:spacing w:val="11"/>
        </w:rPr>
        <w:t xml:space="preserve">strictly </w:t>
      </w:r>
      <w:r w:rsidR="00B06990">
        <w:rPr>
          <w:rFonts w:ascii="Calibri" w:hAnsi="Calibri"/>
          <w:spacing w:val="11"/>
        </w:rPr>
        <w:t xml:space="preserve">to </w:t>
      </w:r>
      <w:r w:rsidR="00B72939">
        <w:rPr>
          <w:rFonts w:ascii="Calibri" w:hAnsi="Calibri"/>
          <w:spacing w:val="-1"/>
        </w:rPr>
        <w:t>ICT</w:t>
      </w:r>
      <w:r w:rsidR="0082793B" w:rsidRPr="001215B9">
        <w:rPr>
          <w:rFonts w:ascii="Calibri" w:hAnsi="Calibri"/>
          <w:spacing w:val="-1"/>
        </w:rPr>
        <w:t>s.</w:t>
      </w:r>
      <w:r w:rsidR="00A93A61">
        <w:rPr>
          <w:rFonts w:ascii="Calibri" w:hAnsi="Calibri"/>
          <w:spacing w:val="-1"/>
        </w:rPr>
        <w:t xml:space="preserve"> </w:t>
      </w:r>
      <w:r w:rsidR="0082793B" w:rsidRPr="001215B9">
        <w:rPr>
          <w:rFonts w:ascii="Calibri" w:hAnsi="Calibri"/>
          <w:spacing w:val="-1"/>
        </w:rPr>
        <w:t>Yet,</w:t>
      </w:r>
      <w:r w:rsidR="0082793B" w:rsidRPr="001215B9">
        <w:rPr>
          <w:rFonts w:ascii="Calibri" w:hAnsi="Calibri"/>
          <w:spacing w:val="10"/>
        </w:rPr>
        <w:t xml:space="preserve"> only about </w:t>
      </w:r>
      <w:r w:rsidR="0082793B" w:rsidRPr="001215B9">
        <w:rPr>
          <w:rFonts w:ascii="Calibri" w:hAnsi="Calibri"/>
        </w:rPr>
        <w:t>17%</w:t>
      </w:r>
      <w:r w:rsidR="00A93A61">
        <w:rPr>
          <w:rFonts w:ascii="Calibri" w:hAnsi="Calibri"/>
        </w:rPr>
        <w:t xml:space="preserve"> </w:t>
      </w:r>
      <w:r w:rsidR="0082793B" w:rsidRPr="001215B9">
        <w:rPr>
          <w:rFonts w:ascii="Calibri" w:hAnsi="Calibri"/>
        </w:rPr>
        <w:t>of</w:t>
      </w:r>
      <w:r w:rsidR="00A93A61">
        <w:rPr>
          <w:rFonts w:ascii="Calibri" w:hAnsi="Calibri"/>
        </w:rPr>
        <w:t xml:space="preserve"> </w:t>
      </w:r>
      <w:r w:rsidR="0082793B" w:rsidRPr="001215B9">
        <w:rPr>
          <w:rFonts w:ascii="Calibri" w:hAnsi="Calibri"/>
        </w:rPr>
        <w:t>all</w:t>
      </w:r>
      <w:r w:rsidR="00A93A61">
        <w:rPr>
          <w:rFonts w:ascii="Calibri" w:hAnsi="Calibri"/>
        </w:rPr>
        <w:t xml:space="preserve"> </w:t>
      </w:r>
      <w:r w:rsidR="0082793B" w:rsidRPr="001215B9">
        <w:rPr>
          <w:rFonts w:ascii="Calibri" w:hAnsi="Calibri"/>
          <w:spacing w:val="-1"/>
        </w:rPr>
        <w:t>horizontal</w:t>
      </w:r>
      <w:r w:rsidR="00A93A61">
        <w:rPr>
          <w:rFonts w:ascii="Calibri" w:hAnsi="Calibri"/>
          <w:spacing w:val="-1"/>
        </w:rPr>
        <w:t xml:space="preserve"> </w:t>
      </w:r>
      <w:r w:rsidR="0082793B" w:rsidRPr="001215B9">
        <w:rPr>
          <w:rFonts w:ascii="Calibri" w:hAnsi="Calibri"/>
          <w:spacing w:val="-1"/>
        </w:rPr>
        <w:t>entries</w:t>
      </w:r>
      <w:r w:rsidR="00A93A61">
        <w:rPr>
          <w:rFonts w:ascii="Calibri" w:hAnsi="Calibri"/>
          <w:spacing w:val="-1"/>
        </w:rPr>
        <w:t xml:space="preserve"> </w:t>
      </w:r>
      <w:r w:rsidR="0082793B" w:rsidRPr="001215B9">
        <w:rPr>
          <w:rFonts w:ascii="Calibri" w:hAnsi="Calibri"/>
          <w:spacing w:val="-1"/>
        </w:rPr>
        <w:t>cover</w:t>
      </w:r>
      <w:r w:rsidR="00A93A61">
        <w:rPr>
          <w:rFonts w:ascii="Calibri" w:hAnsi="Calibri"/>
          <w:spacing w:val="-1"/>
        </w:rPr>
        <w:t xml:space="preserve"> </w:t>
      </w:r>
      <w:r w:rsidR="0082793B" w:rsidRPr="001215B9">
        <w:rPr>
          <w:rFonts w:ascii="Calibri" w:hAnsi="Calibri"/>
          <w:spacing w:val="-1"/>
        </w:rPr>
        <w:t>lower</w:t>
      </w:r>
      <w:r w:rsidR="00A93A61">
        <w:rPr>
          <w:rFonts w:ascii="Calibri" w:hAnsi="Calibri"/>
          <w:spacing w:val="-1"/>
        </w:rPr>
        <w:t xml:space="preserve"> </w:t>
      </w:r>
      <w:r w:rsidR="0082793B" w:rsidRPr="001215B9">
        <w:rPr>
          <w:rFonts w:ascii="Calibri" w:hAnsi="Calibri"/>
          <w:spacing w:val="-1"/>
        </w:rPr>
        <w:t>skilled</w:t>
      </w:r>
      <w:r w:rsidR="00A93A61">
        <w:rPr>
          <w:rFonts w:ascii="Calibri" w:hAnsi="Calibri"/>
          <w:spacing w:val="-1"/>
        </w:rPr>
        <w:t xml:space="preserve"> </w:t>
      </w:r>
      <w:r w:rsidR="0082793B" w:rsidRPr="001215B9">
        <w:rPr>
          <w:rFonts w:ascii="Calibri" w:hAnsi="Calibri"/>
          <w:spacing w:val="-1"/>
        </w:rPr>
        <w:t>personnel</w:t>
      </w:r>
      <w:r w:rsidR="00A93A61">
        <w:rPr>
          <w:rFonts w:ascii="Calibri" w:hAnsi="Calibri"/>
          <w:spacing w:val="-1"/>
        </w:rPr>
        <w:t xml:space="preserve"> </w:t>
      </w:r>
      <w:r w:rsidR="0082793B" w:rsidRPr="001215B9">
        <w:rPr>
          <w:rFonts w:ascii="Calibri" w:hAnsi="Calibri"/>
          <w:spacing w:val="-1"/>
        </w:rPr>
        <w:t>and</w:t>
      </w:r>
      <w:r w:rsidR="00A93A61">
        <w:rPr>
          <w:rFonts w:ascii="Calibri" w:hAnsi="Calibri"/>
          <w:spacing w:val="-1"/>
        </w:rPr>
        <w:t xml:space="preserve"> </w:t>
      </w:r>
      <w:r w:rsidR="0082793B" w:rsidRPr="001215B9">
        <w:rPr>
          <w:rFonts w:ascii="Calibri" w:hAnsi="Calibri"/>
          <w:spacing w:val="-1"/>
        </w:rPr>
        <w:t>just a few</w:t>
      </w:r>
      <w:r w:rsidR="00A93A61">
        <w:rPr>
          <w:rFonts w:ascii="Calibri" w:hAnsi="Calibri"/>
          <w:spacing w:val="-1"/>
        </w:rPr>
        <w:t xml:space="preserve"> </w:t>
      </w:r>
      <w:r w:rsidR="0082793B" w:rsidRPr="001215B9">
        <w:rPr>
          <w:rFonts w:ascii="Calibri" w:hAnsi="Calibri"/>
          <w:spacing w:val="-1"/>
        </w:rPr>
        <w:t>countries</w:t>
      </w:r>
      <w:r w:rsidR="00A93A61">
        <w:rPr>
          <w:rFonts w:ascii="Calibri" w:hAnsi="Calibri"/>
          <w:spacing w:val="-1"/>
        </w:rPr>
        <w:t xml:space="preserve"> </w:t>
      </w:r>
      <w:r w:rsidR="0082793B" w:rsidRPr="001215B9">
        <w:rPr>
          <w:rFonts w:ascii="Calibri" w:hAnsi="Calibri"/>
        </w:rPr>
        <w:t>have</w:t>
      </w:r>
      <w:r w:rsidR="00A93A61">
        <w:rPr>
          <w:rFonts w:ascii="Calibri" w:hAnsi="Calibri"/>
        </w:rPr>
        <w:t xml:space="preserve"> </w:t>
      </w:r>
      <w:r w:rsidR="0082793B" w:rsidRPr="001215B9">
        <w:rPr>
          <w:rFonts w:ascii="Calibri" w:hAnsi="Calibri"/>
          <w:spacing w:val="-1"/>
        </w:rPr>
        <w:t>allowed</w:t>
      </w:r>
      <w:r w:rsidR="00A93A61">
        <w:rPr>
          <w:rFonts w:ascii="Calibri" w:hAnsi="Calibri"/>
          <w:spacing w:val="-1"/>
        </w:rPr>
        <w:t xml:space="preserve"> </w:t>
      </w:r>
      <w:r w:rsidR="0082793B" w:rsidRPr="001215B9">
        <w:rPr>
          <w:rFonts w:ascii="Calibri" w:hAnsi="Calibri"/>
          <w:spacing w:val="-1"/>
        </w:rPr>
        <w:t>some</w:t>
      </w:r>
      <w:r w:rsidR="00A93A61">
        <w:rPr>
          <w:rFonts w:ascii="Calibri" w:hAnsi="Calibri"/>
          <w:spacing w:val="-1"/>
        </w:rPr>
        <w:t xml:space="preserve"> </w:t>
      </w:r>
      <w:r w:rsidR="0082793B" w:rsidRPr="001215B9">
        <w:rPr>
          <w:rFonts w:ascii="Calibri" w:hAnsi="Calibri"/>
          <w:spacing w:val="-1"/>
        </w:rPr>
        <w:t>forms</w:t>
      </w:r>
      <w:r w:rsidR="00B06990">
        <w:rPr>
          <w:rFonts w:ascii="Calibri" w:hAnsi="Calibri"/>
          <w:spacing w:val="-1"/>
        </w:rPr>
        <w:t xml:space="preserve"> </w:t>
      </w:r>
      <w:r w:rsidR="0082793B" w:rsidRPr="001215B9">
        <w:rPr>
          <w:rFonts w:ascii="Calibri" w:hAnsi="Calibri"/>
        </w:rPr>
        <w:t>o</w:t>
      </w:r>
      <w:r w:rsidR="00B06990">
        <w:rPr>
          <w:rFonts w:ascii="Calibri" w:hAnsi="Calibri"/>
        </w:rPr>
        <w:t>f</w:t>
      </w:r>
      <w:r w:rsidR="00A93A61">
        <w:rPr>
          <w:rFonts w:ascii="Calibri" w:hAnsi="Calibri"/>
        </w:rPr>
        <w:t xml:space="preserve"> </w:t>
      </w:r>
      <w:r w:rsidR="0082793B" w:rsidRPr="001215B9">
        <w:rPr>
          <w:rFonts w:ascii="Calibri" w:hAnsi="Calibri"/>
          <w:spacing w:val="-1"/>
        </w:rPr>
        <w:t>restricted</w:t>
      </w:r>
      <w:r w:rsidR="00034C42">
        <w:rPr>
          <w:rFonts w:ascii="Calibri" w:hAnsi="Calibri"/>
          <w:spacing w:val="-1"/>
        </w:rPr>
        <w:t xml:space="preserve"> </w:t>
      </w:r>
      <w:r w:rsidR="0082793B" w:rsidRPr="001215B9">
        <w:rPr>
          <w:rFonts w:ascii="Calibri" w:hAnsi="Calibri"/>
          <w:spacing w:val="-1"/>
        </w:rPr>
        <w:t>entry</w:t>
      </w:r>
      <w:r w:rsidR="00A93A61">
        <w:rPr>
          <w:rFonts w:ascii="Calibri" w:hAnsi="Calibri"/>
          <w:spacing w:val="-1"/>
        </w:rPr>
        <w:t xml:space="preserve"> </w:t>
      </w:r>
      <w:r w:rsidR="0082793B" w:rsidRPr="001215B9">
        <w:rPr>
          <w:rFonts w:ascii="Calibri" w:hAnsi="Calibri"/>
          <w:spacing w:val="1"/>
        </w:rPr>
        <w:t>to</w:t>
      </w:r>
      <w:r w:rsidR="00A93A61">
        <w:rPr>
          <w:rFonts w:ascii="Calibri" w:hAnsi="Calibri"/>
          <w:spacing w:val="1"/>
        </w:rPr>
        <w:t xml:space="preserve"> </w:t>
      </w:r>
      <w:r w:rsidR="0082793B" w:rsidRPr="001215B9">
        <w:rPr>
          <w:rFonts w:ascii="Calibri" w:hAnsi="Calibri"/>
          <w:spacing w:val="-1"/>
        </w:rPr>
        <w:t>"other</w:t>
      </w:r>
      <w:r w:rsidR="00A93A61">
        <w:rPr>
          <w:rFonts w:ascii="Calibri" w:hAnsi="Calibri"/>
          <w:spacing w:val="-1"/>
        </w:rPr>
        <w:t xml:space="preserve"> </w:t>
      </w:r>
      <w:r w:rsidR="0082793B" w:rsidRPr="001215B9">
        <w:rPr>
          <w:rFonts w:ascii="Calibri" w:hAnsi="Calibri"/>
          <w:spacing w:val="-1"/>
        </w:rPr>
        <w:t>level"</w:t>
      </w:r>
      <w:r w:rsidR="00A93A61">
        <w:rPr>
          <w:rFonts w:ascii="Calibri" w:hAnsi="Calibri"/>
          <w:spacing w:val="-1"/>
        </w:rPr>
        <w:t xml:space="preserve"> </w:t>
      </w:r>
      <w:r w:rsidR="0082793B" w:rsidRPr="001215B9">
        <w:rPr>
          <w:rFonts w:ascii="Calibri" w:hAnsi="Calibri"/>
        </w:rPr>
        <w:t>(OECD</w:t>
      </w:r>
      <w:r w:rsidR="00B06990">
        <w:rPr>
          <w:rFonts w:ascii="Calibri" w:hAnsi="Calibri"/>
        </w:rPr>
        <w:t xml:space="preserve"> </w:t>
      </w:r>
      <w:r w:rsidR="0082793B" w:rsidRPr="001215B9">
        <w:rPr>
          <w:rFonts w:ascii="Calibri" w:hAnsi="Calibri"/>
          <w:spacing w:val="-1"/>
        </w:rPr>
        <w:t>2002:</w:t>
      </w:r>
      <w:r w:rsidR="00351543">
        <w:rPr>
          <w:rFonts w:ascii="Calibri" w:hAnsi="Calibri"/>
          <w:spacing w:val="-1"/>
        </w:rPr>
        <w:t xml:space="preserve"> </w:t>
      </w:r>
      <w:r w:rsidR="0082793B" w:rsidRPr="001215B9">
        <w:rPr>
          <w:rFonts w:ascii="Calibri" w:hAnsi="Calibri"/>
          <w:spacing w:val="-1"/>
        </w:rPr>
        <w:t>31)</w:t>
      </w:r>
      <w:r w:rsidR="0082793B">
        <w:rPr>
          <w:rFonts w:ascii="Calibri" w:hAnsi="Calibri"/>
          <w:spacing w:val="-1"/>
        </w:rPr>
        <w:t>.</w:t>
      </w:r>
      <w:r w:rsidR="00034C42">
        <w:rPr>
          <w:rFonts w:ascii="Calibri" w:hAnsi="Calibri"/>
          <w:spacing w:val="-1"/>
        </w:rPr>
        <w:t xml:space="preserve"> </w:t>
      </w:r>
      <w:r w:rsidR="00662AC2" w:rsidRPr="001215B9">
        <w:rPr>
          <w:rFonts w:ascii="Calibri" w:hAnsi="Calibri" w:cs="Times New Roman"/>
          <w:lang w:val="en-US"/>
        </w:rPr>
        <w:t xml:space="preserve">Table 1 gives an overview of </w:t>
      </w:r>
      <w:r w:rsidR="005B1D76">
        <w:rPr>
          <w:rFonts w:ascii="Calibri" w:hAnsi="Calibri" w:cs="Times New Roman"/>
          <w:lang w:val="en-US"/>
        </w:rPr>
        <w:t xml:space="preserve">these </w:t>
      </w:r>
      <w:r w:rsidR="00662AC2" w:rsidRPr="001215B9">
        <w:rPr>
          <w:rFonts w:ascii="Calibri" w:hAnsi="Calibri" w:cs="Times New Roman"/>
          <w:lang w:val="en-US"/>
        </w:rPr>
        <w:t>categories</w:t>
      </w:r>
      <w:r w:rsidR="005B1D76">
        <w:rPr>
          <w:rFonts w:ascii="Calibri" w:hAnsi="Calibri" w:cs="Times New Roman"/>
          <w:lang w:val="en-US"/>
        </w:rPr>
        <w:t>,</w:t>
      </w:r>
      <w:r w:rsidR="00662AC2" w:rsidRPr="001215B9">
        <w:rPr>
          <w:rFonts w:ascii="Calibri" w:hAnsi="Calibri" w:cs="Times New Roman"/>
          <w:lang w:val="en-US"/>
        </w:rPr>
        <w:t xml:space="preserve"> differentiating between highly</w:t>
      </w:r>
      <w:r w:rsidR="00675FE9">
        <w:rPr>
          <w:rFonts w:ascii="Calibri" w:hAnsi="Calibri" w:cs="Times New Roman"/>
          <w:lang w:val="en-US"/>
        </w:rPr>
        <w:t>-</w:t>
      </w:r>
      <w:r w:rsidR="00662AC2" w:rsidRPr="001215B9">
        <w:rPr>
          <w:rFonts w:ascii="Calibri" w:hAnsi="Calibri" w:cs="Times New Roman"/>
          <w:lang w:val="en-US"/>
        </w:rPr>
        <w:t>skilled and other persons</w:t>
      </w:r>
      <w:r w:rsidR="00846C41">
        <w:rPr>
          <w:rFonts w:ascii="Calibri" w:hAnsi="Calibri" w:cs="Times New Roman"/>
          <w:lang w:val="en-US"/>
        </w:rPr>
        <w:t>,</w:t>
      </w:r>
      <w:r w:rsidR="00034C42">
        <w:rPr>
          <w:rFonts w:ascii="Calibri" w:hAnsi="Calibri" w:cs="Times New Roman"/>
          <w:lang w:val="en-US"/>
        </w:rPr>
        <w:t xml:space="preserve"> </w:t>
      </w:r>
      <w:r w:rsidR="00E41947">
        <w:rPr>
          <w:rFonts w:ascii="Calibri" w:hAnsi="Calibri" w:cs="Times New Roman"/>
          <w:lang w:val="en-US"/>
        </w:rPr>
        <w:t>and</w:t>
      </w:r>
      <w:r w:rsidR="00662AC2" w:rsidRPr="001215B9">
        <w:rPr>
          <w:rFonts w:ascii="Calibri" w:hAnsi="Calibri" w:cs="Times New Roman"/>
          <w:lang w:val="en-US"/>
        </w:rPr>
        <w:t xml:space="preserve"> between “mode 3”</w:t>
      </w:r>
      <w:r w:rsidR="00675FE9">
        <w:rPr>
          <w:rFonts w:ascii="Calibri" w:hAnsi="Calibri" w:cs="Times New Roman"/>
          <w:lang w:val="en-US"/>
        </w:rPr>
        <w:t>-</w:t>
      </w:r>
      <w:r w:rsidR="00662AC2" w:rsidRPr="001215B9">
        <w:rPr>
          <w:rFonts w:ascii="Calibri" w:hAnsi="Calibri" w:cs="Times New Roman"/>
          <w:lang w:val="en-US"/>
        </w:rPr>
        <w:t xml:space="preserve">related categories </w:t>
      </w:r>
      <w:r w:rsidR="00E41947">
        <w:rPr>
          <w:rFonts w:ascii="Calibri" w:hAnsi="Calibri" w:cs="Times New Roman"/>
          <w:lang w:val="en-US"/>
        </w:rPr>
        <w:t xml:space="preserve">and </w:t>
      </w:r>
      <w:r w:rsidR="00E41947">
        <w:rPr>
          <w:rFonts w:ascii="Calibri" w:hAnsi="Calibri" w:cs="Times New Roman"/>
          <w:lang w:val="en-US"/>
        </w:rPr>
        <w:lastRenderedPageBreak/>
        <w:t>those</w:t>
      </w:r>
      <w:r w:rsidR="00034C42">
        <w:rPr>
          <w:rFonts w:ascii="Calibri" w:hAnsi="Calibri" w:cs="Times New Roman"/>
          <w:lang w:val="en-US"/>
        </w:rPr>
        <w:t xml:space="preserve"> </w:t>
      </w:r>
      <w:r w:rsidR="00AC7BA8">
        <w:rPr>
          <w:rFonts w:ascii="Calibri" w:hAnsi="Calibri" w:cs="Times New Roman"/>
          <w:lang w:val="en-US"/>
        </w:rPr>
        <w:t>un</w:t>
      </w:r>
      <w:r w:rsidR="00AC7BA8" w:rsidRPr="001215B9">
        <w:rPr>
          <w:rFonts w:ascii="Calibri" w:hAnsi="Calibri" w:cs="Times New Roman"/>
          <w:lang w:val="en-US"/>
        </w:rPr>
        <w:t xml:space="preserve">linked </w:t>
      </w:r>
      <w:r w:rsidR="000E4C16">
        <w:rPr>
          <w:rFonts w:ascii="Calibri" w:hAnsi="Calibri" w:cs="Times New Roman"/>
          <w:lang w:val="en-US"/>
        </w:rPr>
        <w:t>from commercial presence</w:t>
      </w:r>
      <w:r w:rsidR="00662AC2" w:rsidRPr="001215B9">
        <w:rPr>
          <w:rFonts w:ascii="Calibri" w:hAnsi="Calibri" w:cs="Times New Roman"/>
          <w:lang w:val="en-US"/>
        </w:rPr>
        <w:t>. The bold entries reflect those categories for which the traditional trade hegemons have entered most commitments.</w:t>
      </w:r>
    </w:p>
    <w:p w14:paraId="242C6CF9" w14:textId="77777777" w:rsidR="00662AC2" w:rsidRPr="001215B9" w:rsidRDefault="00662AC2" w:rsidP="001215B9">
      <w:pPr>
        <w:spacing w:after="120" w:line="360" w:lineRule="auto"/>
        <w:jc w:val="both"/>
        <w:rPr>
          <w:rFonts w:ascii="Calibri" w:hAnsi="Calibri" w:cs="Times New Roman"/>
          <w:i/>
          <w:lang w:val="en-US"/>
        </w:rPr>
      </w:pPr>
      <w:r w:rsidRPr="001215B9">
        <w:rPr>
          <w:rFonts w:ascii="Calibri" w:hAnsi="Calibri" w:cs="Times New Roman"/>
          <w:i/>
          <w:lang w:val="en-US"/>
        </w:rPr>
        <w:t>Table 1: Categories of service suppliers GATS mode 4</w:t>
      </w:r>
    </w:p>
    <w:tbl>
      <w:tblPr>
        <w:tblStyle w:val="Tabellenraster"/>
        <w:tblW w:w="0" w:type="auto"/>
        <w:tblLook w:val="04A0" w:firstRow="1" w:lastRow="0" w:firstColumn="1" w:lastColumn="0" w:noHBand="0" w:noVBand="1"/>
      </w:tblPr>
      <w:tblGrid>
        <w:gridCol w:w="3070"/>
        <w:gridCol w:w="3071"/>
        <w:gridCol w:w="3071"/>
      </w:tblGrid>
      <w:tr w:rsidR="00662AC2" w:rsidRPr="001215B9" w14:paraId="0440F689" w14:textId="77777777" w:rsidTr="00B1561C">
        <w:tc>
          <w:tcPr>
            <w:tcW w:w="3070" w:type="dxa"/>
          </w:tcPr>
          <w:p w14:paraId="575D470D" w14:textId="77777777" w:rsidR="00662AC2" w:rsidRPr="001215B9" w:rsidRDefault="00662AC2" w:rsidP="00857959">
            <w:pPr>
              <w:jc w:val="both"/>
              <w:rPr>
                <w:rFonts w:ascii="Calibri" w:hAnsi="Calibri" w:cs="Times New Roman"/>
                <w:lang w:val="en-US"/>
              </w:rPr>
            </w:pPr>
          </w:p>
        </w:tc>
        <w:tc>
          <w:tcPr>
            <w:tcW w:w="3071" w:type="dxa"/>
          </w:tcPr>
          <w:p w14:paraId="307B9936"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Highly</w:t>
            </w:r>
            <w:r w:rsidR="001F3B62">
              <w:rPr>
                <w:rFonts w:ascii="Calibri" w:hAnsi="Calibri" w:cs="Times New Roman"/>
                <w:lang w:val="en-US"/>
              </w:rPr>
              <w:t>-</w:t>
            </w:r>
            <w:r w:rsidRPr="001215B9">
              <w:rPr>
                <w:rFonts w:ascii="Calibri" w:hAnsi="Calibri" w:cs="Times New Roman"/>
                <w:lang w:val="en-US"/>
              </w:rPr>
              <w:t>Skilled</w:t>
            </w:r>
          </w:p>
        </w:tc>
        <w:tc>
          <w:tcPr>
            <w:tcW w:w="3071" w:type="dxa"/>
          </w:tcPr>
          <w:p w14:paraId="10B17E24"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Non</w:t>
            </w:r>
            <w:r w:rsidR="001F3B62">
              <w:rPr>
                <w:rFonts w:ascii="Calibri" w:hAnsi="Calibri" w:cs="Times New Roman"/>
                <w:lang w:val="en-US"/>
              </w:rPr>
              <w:t>-</w:t>
            </w:r>
            <w:r w:rsidRPr="001215B9">
              <w:rPr>
                <w:rFonts w:ascii="Calibri" w:hAnsi="Calibri" w:cs="Times New Roman"/>
                <w:lang w:val="en-US"/>
              </w:rPr>
              <w:t>Highly Skilled</w:t>
            </w:r>
          </w:p>
        </w:tc>
      </w:tr>
      <w:tr w:rsidR="00662AC2" w:rsidRPr="001215B9" w14:paraId="6CB25589" w14:textId="77777777" w:rsidTr="00B1561C">
        <w:tc>
          <w:tcPr>
            <w:tcW w:w="3070" w:type="dxa"/>
          </w:tcPr>
          <w:p w14:paraId="4B3E95E0"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Related to commercial presence</w:t>
            </w:r>
          </w:p>
        </w:tc>
        <w:tc>
          <w:tcPr>
            <w:tcW w:w="3071" w:type="dxa"/>
          </w:tcPr>
          <w:p w14:paraId="3B087D61" w14:textId="77777777" w:rsidR="00662AC2" w:rsidRPr="001215B9" w:rsidRDefault="00662AC2" w:rsidP="00857959">
            <w:pPr>
              <w:jc w:val="both"/>
              <w:rPr>
                <w:rFonts w:ascii="Calibri" w:hAnsi="Calibri" w:cs="Times New Roman"/>
                <w:b/>
                <w:lang w:val="en-US"/>
              </w:rPr>
            </w:pPr>
            <w:r w:rsidRPr="001215B9">
              <w:rPr>
                <w:rFonts w:ascii="Calibri" w:hAnsi="Calibri" w:cs="Times New Roman"/>
                <w:b/>
                <w:lang w:val="en-US"/>
              </w:rPr>
              <w:t>Intra-corporate transferees</w:t>
            </w:r>
          </w:p>
          <w:p w14:paraId="4FBEC542" w14:textId="77777777" w:rsidR="00662AC2" w:rsidRPr="001215B9" w:rsidRDefault="00662AC2" w:rsidP="00857959">
            <w:pPr>
              <w:jc w:val="both"/>
              <w:rPr>
                <w:rFonts w:ascii="Calibri" w:hAnsi="Calibri" w:cs="Times New Roman"/>
                <w:b/>
                <w:lang w:val="en-US"/>
              </w:rPr>
            </w:pPr>
            <w:r w:rsidRPr="001215B9">
              <w:rPr>
                <w:rFonts w:ascii="Calibri" w:hAnsi="Calibri" w:cs="Times New Roman"/>
                <w:b/>
                <w:lang w:val="en-US"/>
              </w:rPr>
              <w:t>Business Visitors</w:t>
            </w:r>
          </w:p>
          <w:p w14:paraId="64A258B4"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Traders/Investors</w:t>
            </w:r>
          </w:p>
        </w:tc>
        <w:tc>
          <w:tcPr>
            <w:tcW w:w="3071" w:type="dxa"/>
          </w:tcPr>
          <w:p w14:paraId="4331E887"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Trainees</w:t>
            </w:r>
          </w:p>
        </w:tc>
      </w:tr>
      <w:tr w:rsidR="00662AC2" w:rsidRPr="001215B9" w14:paraId="54FE9F0B" w14:textId="77777777" w:rsidTr="00B1561C">
        <w:tc>
          <w:tcPr>
            <w:tcW w:w="3070" w:type="dxa"/>
          </w:tcPr>
          <w:p w14:paraId="10886873" w14:textId="77777777" w:rsidR="00662AC2" w:rsidRPr="001215B9" w:rsidRDefault="00662AC2" w:rsidP="00857959">
            <w:pPr>
              <w:jc w:val="both"/>
              <w:rPr>
                <w:rFonts w:ascii="Calibri" w:hAnsi="Calibri" w:cs="Times New Roman"/>
                <w:lang w:val="en-US"/>
              </w:rPr>
            </w:pPr>
            <w:r w:rsidRPr="001215B9">
              <w:rPr>
                <w:rFonts w:ascii="Calibri" w:hAnsi="Calibri" w:cs="Times New Roman"/>
                <w:lang w:val="en-US"/>
              </w:rPr>
              <w:t>Independent from commercial presence</w:t>
            </w:r>
          </w:p>
        </w:tc>
        <w:tc>
          <w:tcPr>
            <w:tcW w:w="6142" w:type="dxa"/>
            <w:gridSpan w:val="2"/>
          </w:tcPr>
          <w:p w14:paraId="5C1BCB08" w14:textId="77777777" w:rsidR="00662AC2" w:rsidRPr="001215B9" w:rsidRDefault="00662AC2" w:rsidP="00857959">
            <w:pPr>
              <w:jc w:val="both"/>
              <w:rPr>
                <w:rFonts w:ascii="Calibri" w:eastAsiaTheme="majorEastAsia" w:hAnsi="Calibri" w:cs="Times New Roman"/>
                <w:b/>
                <w:bCs/>
                <w:i/>
                <w:iCs/>
                <w:color w:val="4F81BD" w:themeColor="accent1"/>
                <w:lang w:val="en-US"/>
              </w:rPr>
            </w:pPr>
            <w:r w:rsidRPr="001215B9">
              <w:rPr>
                <w:rFonts w:ascii="Calibri" w:hAnsi="Calibri" w:cs="Times New Roman"/>
                <w:lang w:val="en-US"/>
              </w:rPr>
              <w:t>Self-employed/independent professional</w:t>
            </w:r>
          </w:p>
          <w:p w14:paraId="3148E825" w14:textId="77777777" w:rsidR="00662AC2" w:rsidRPr="001215B9" w:rsidRDefault="00662AC2" w:rsidP="00573D30">
            <w:pPr>
              <w:jc w:val="both"/>
              <w:rPr>
                <w:rFonts w:ascii="Calibri" w:hAnsi="Calibri" w:cs="Times New Roman"/>
                <w:lang w:val="en-US"/>
              </w:rPr>
            </w:pPr>
            <w:r w:rsidRPr="001215B9">
              <w:rPr>
                <w:rFonts w:ascii="Calibri" w:hAnsi="Calibri" w:cs="Times New Roman"/>
                <w:lang w:val="en-US"/>
              </w:rPr>
              <w:t>Contractual Service Suppliers</w:t>
            </w:r>
            <w:r w:rsidR="00303066">
              <w:rPr>
                <w:rFonts w:ascii="Calibri" w:hAnsi="Calibri" w:cs="Times New Roman"/>
                <w:lang w:val="en-US"/>
              </w:rPr>
              <w:t xml:space="preserve"> (</w:t>
            </w:r>
            <w:r w:rsidRPr="001215B9">
              <w:rPr>
                <w:rFonts w:ascii="Calibri" w:hAnsi="Calibri" w:cs="Times New Roman"/>
                <w:lang w:val="en-US"/>
              </w:rPr>
              <w:t>cover</w:t>
            </w:r>
            <w:r w:rsidR="00EE57B1">
              <w:rPr>
                <w:rFonts w:ascii="Calibri" w:hAnsi="Calibri" w:cs="Times New Roman"/>
                <w:lang w:val="en-US"/>
              </w:rPr>
              <w:t>s</w:t>
            </w:r>
            <w:r w:rsidRPr="001215B9">
              <w:rPr>
                <w:rFonts w:ascii="Calibri" w:hAnsi="Calibri" w:cs="Times New Roman"/>
                <w:lang w:val="en-US"/>
              </w:rPr>
              <w:t xml:space="preserve"> highly</w:t>
            </w:r>
            <w:r w:rsidR="00C44F7C">
              <w:rPr>
                <w:rFonts w:ascii="Calibri" w:hAnsi="Calibri" w:cs="Times New Roman"/>
                <w:lang w:val="en-US"/>
              </w:rPr>
              <w:t>-</w:t>
            </w:r>
            <w:r w:rsidRPr="001215B9">
              <w:rPr>
                <w:rFonts w:ascii="Calibri" w:hAnsi="Calibri" w:cs="Times New Roman"/>
                <w:lang w:val="en-US"/>
              </w:rPr>
              <w:t>skilled, but also lower-skilled persons such as technicians, installers, care-workers</w:t>
            </w:r>
            <w:r w:rsidR="00303066">
              <w:rPr>
                <w:rFonts w:ascii="Calibri" w:hAnsi="Calibri" w:cs="Times New Roman"/>
                <w:lang w:val="en-US"/>
              </w:rPr>
              <w:t>)</w:t>
            </w:r>
          </w:p>
        </w:tc>
      </w:tr>
    </w:tbl>
    <w:p w14:paraId="47284D66" w14:textId="77777777" w:rsidR="00517B35" w:rsidRDefault="00517B35" w:rsidP="001215B9">
      <w:pPr>
        <w:spacing w:after="120" w:line="360" w:lineRule="auto"/>
        <w:jc w:val="both"/>
        <w:rPr>
          <w:rFonts w:ascii="Calibri" w:hAnsi="Calibri"/>
        </w:rPr>
      </w:pPr>
    </w:p>
    <w:p w14:paraId="702E2B2D" w14:textId="4FEB10AA" w:rsidR="00A63CFC" w:rsidRPr="004B2132" w:rsidRDefault="00ED2090" w:rsidP="008A2FFD">
      <w:pPr>
        <w:spacing w:after="120" w:line="360" w:lineRule="auto"/>
        <w:jc w:val="both"/>
        <w:rPr>
          <w:rFonts w:ascii="Calibri" w:hAnsi="Calibri"/>
          <w:spacing w:val="-1"/>
        </w:rPr>
      </w:pPr>
      <w:r>
        <w:rPr>
          <w:rFonts w:ascii="Calibri" w:hAnsi="Calibri"/>
          <w:spacing w:val="-1"/>
        </w:rPr>
        <w:t>The</w:t>
      </w:r>
      <w:r w:rsidR="00351543">
        <w:rPr>
          <w:rFonts w:ascii="Calibri" w:hAnsi="Calibri"/>
          <w:spacing w:val="-1"/>
        </w:rPr>
        <w:t xml:space="preserve"> </w:t>
      </w:r>
      <w:r w:rsidR="00A63CFC" w:rsidRPr="001215B9">
        <w:rPr>
          <w:rFonts w:ascii="Calibri" w:hAnsi="Calibri"/>
          <w:spacing w:val="-1"/>
        </w:rPr>
        <w:t>general</w:t>
      </w:r>
      <w:r w:rsidR="00351543">
        <w:rPr>
          <w:rFonts w:ascii="Calibri" w:hAnsi="Calibri"/>
          <w:spacing w:val="-1"/>
        </w:rPr>
        <w:t xml:space="preserve"> </w:t>
      </w:r>
      <w:r w:rsidR="00A63CFC" w:rsidRPr="001215B9">
        <w:rPr>
          <w:rFonts w:ascii="Calibri" w:hAnsi="Calibri"/>
        </w:rPr>
        <w:t>limits</w:t>
      </w:r>
      <w:r w:rsidR="00351543">
        <w:rPr>
          <w:rFonts w:ascii="Calibri" w:hAnsi="Calibri"/>
        </w:rPr>
        <w:t xml:space="preserve"> </w:t>
      </w:r>
      <w:r w:rsidR="00A63CFC" w:rsidRPr="001215B9">
        <w:rPr>
          <w:rFonts w:ascii="Calibri" w:hAnsi="Calibri"/>
        </w:rPr>
        <w:t>of</w:t>
      </w:r>
      <w:r w:rsidR="00351543">
        <w:rPr>
          <w:rFonts w:ascii="Calibri" w:hAnsi="Calibri"/>
        </w:rPr>
        <w:t xml:space="preserve"> </w:t>
      </w:r>
      <w:r w:rsidR="00A63CFC" w:rsidRPr="001215B9">
        <w:rPr>
          <w:rFonts w:ascii="Calibri" w:hAnsi="Calibri"/>
          <w:spacing w:val="-1"/>
        </w:rPr>
        <w:t>labour</w:t>
      </w:r>
      <w:r w:rsidR="00351543">
        <w:rPr>
          <w:rFonts w:ascii="Calibri" w:hAnsi="Calibri"/>
          <w:spacing w:val="-1"/>
        </w:rPr>
        <w:t xml:space="preserve"> </w:t>
      </w:r>
      <w:r w:rsidR="00A63CFC" w:rsidRPr="001215B9">
        <w:rPr>
          <w:rFonts w:ascii="Calibri" w:hAnsi="Calibri"/>
        </w:rPr>
        <w:t>mobility</w:t>
      </w:r>
      <w:r w:rsidR="00351543">
        <w:rPr>
          <w:rFonts w:ascii="Calibri" w:hAnsi="Calibri"/>
        </w:rPr>
        <w:t xml:space="preserve"> </w:t>
      </w:r>
      <w:r w:rsidR="00A63CFC" w:rsidRPr="001215B9">
        <w:rPr>
          <w:rFonts w:ascii="Calibri" w:hAnsi="Calibri"/>
          <w:spacing w:val="-1"/>
        </w:rPr>
        <w:t>under</w:t>
      </w:r>
      <w:r w:rsidR="00351543">
        <w:rPr>
          <w:rFonts w:ascii="Calibri" w:hAnsi="Calibri"/>
          <w:spacing w:val="-1"/>
        </w:rPr>
        <w:t xml:space="preserve"> </w:t>
      </w:r>
      <w:r w:rsidR="00A63CFC" w:rsidRPr="001215B9">
        <w:rPr>
          <w:rFonts w:ascii="Calibri" w:hAnsi="Calibri"/>
          <w:spacing w:val="-1"/>
        </w:rPr>
        <w:t>GATS</w:t>
      </w:r>
      <w:r w:rsidR="00351543">
        <w:rPr>
          <w:rFonts w:ascii="Calibri" w:hAnsi="Calibri"/>
          <w:spacing w:val="-1"/>
        </w:rPr>
        <w:t xml:space="preserve"> </w:t>
      </w:r>
      <w:r w:rsidR="00A63CFC" w:rsidRPr="001215B9">
        <w:rPr>
          <w:rFonts w:ascii="Calibri" w:hAnsi="Calibri"/>
        </w:rPr>
        <w:t>are</w:t>
      </w:r>
      <w:r w:rsidR="00351543">
        <w:rPr>
          <w:rFonts w:ascii="Calibri" w:hAnsi="Calibri"/>
        </w:rPr>
        <w:t xml:space="preserve"> </w:t>
      </w:r>
      <w:r w:rsidR="00A63CFC" w:rsidRPr="001215B9">
        <w:rPr>
          <w:rFonts w:ascii="Calibri" w:hAnsi="Calibri"/>
        </w:rPr>
        <w:t>fixed</w:t>
      </w:r>
      <w:r w:rsidR="00351543">
        <w:rPr>
          <w:rFonts w:ascii="Calibri" w:hAnsi="Calibri"/>
        </w:rPr>
        <w:t xml:space="preserve"> </w:t>
      </w:r>
      <w:r w:rsidR="00A63CFC" w:rsidRPr="001215B9">
        <w:rPr>
          <w:rFonts w:ascii="Calibri" w:hAnsi="Calibri"/>
          <w:spacing w:val="1"/>
        </w:rPr>
        <w:t>in</w:t>
      </w:r>
      <w:r w:rsidR="00351543">
        <w:rPr>
          <w:rFonts w:ascii="Calibri" w:hAnsi="Calibri"/>
          <w:spacing w:val="1"/>
        </w:rPr>
        <w:t xml:space="preserve"> </w:t>
      </w:r>
      <w:r w:rsidR="00A63CFC" w:rsidRPr="001215B9">
        <w:rPr>
          <w:rFonts w:ascii="Calibri" w:hAnsi="Calibri"/>
        </w:rPr>
        <w:t>the</w:t>
      </w:r>
      <w:r w:rsidR="00351543">
        <w:rPr>
          <w:rFonts w:ascii="Calibri" w:hAnsi="Calibri"/>
        </w:rPr>
        <w:t xml:space="preserve"> </w:t>
      </w:r>
      <w:r w:rsidR="00A63CFC" w:rsidRPr="001215B9">
        <w:rPr>
          <w:rFonts w:ascii="Calibri" w:hAnsi="Calibri"/>
          <w:i/>
          <w:spacing w:val="-1"/>
        </w:rPr>
        <w:t>Annex</w:t>
      </w:r>
      <w:r w:rsidR="00351543">
        <w:rPr>
          <w:rFonts w:ascii="Calibri" w:hAnsi="Calibri"/>
          <w:i/>
          <w:spacing w:val="-1"/>
        </w:rPr>
        <w:t xml:space="preserve"> </w:t>
      </w:r>
      <w:r w:rsidR="00A63CFC" w:rsidRPr="001215B9">
        <w:rPr>
          <w:rFonts w:ascii="Calibri" w:hAnsi="Calibri"/>
          <w:i/>
          <w:spacing w:val="-1"/>
        </w:rPr>
        <w:t>on</w:t>
      </w:r>
      <w:r w:rsidR="00351543">
        <w:rPr>
          <w:rFonts w:ascii="Calibri" w:hAnsi="Calibri"/>
          <w:i/>
          <w:spacing w:val="-1"/>
        </w:rPr>
        <w:t xml:space="preserve"> </w:t>
      </w:r>
      <w:r w:rsidR="00A63CFC" w:rsidRPr="001215B9">
        <w:rPr>
          <w:rFonts w:ascii="Calibri" w:hAnsi="Calibri"/>
          <w:i/>
          <w:spacing w:val="-1"/>
        </w:rPr>
        <w:t>Movement</w:t>
      </w:r>
      <w:r w:rsidR="00351543">
        <w:rPr>
          <w:rFonts w:ascii="Calibri" w:hAnsi="Calibri"/>
          <w:i/>
          <w:spacing w:val="-1"/>
        </w:rPr>
        <w:t xml:space="preserve"> </w:t>
      </w:r>
      <w:r w:rsidR="00A63CFC" w:rsidRPr="001215B9">
        <w:rPr>
          <w:rFonts w:ascii="Calibri" w:hAnsi="Calibri"/>
          <w:i/>
          <w:spacing w:val="1"/>
        </w:rPr>
        <w:t>of</w:t>
      </w:r>
      <w:r w:rsidR="00351543">
        <w:rPr>
          <w:rFonts w:ascii="Calibri" w:hAnsi="Calibri"/>
          <w:i/>
          <w:spacing w:val="1"/>
        </w:rPr>
        <w:t xml:space="preserve"> </w:t>
      </w:r>
      <w:r w:rsidR="00A63CFC" w:rsidRPr="001215B9">
        <w:rPr>
          <w:rFonts w:ascii="Calibri" w:hAnsi="Calibri"/>
          <w:i/>
          <w:spacing w:val="-1"/>
        </w:rPr>
        <w:t>Natural</w:t>
      </w:r>
      <w:r w:rsidR="00351543">
        <w:rPr>
          <w:rFonts w:ascii="Calibri" w:hAnsi="Calibri"/>
          <w:i/>
          <w:spacing w:val="-1"/>
        </w:rPr>
        <w:t xml:space="preserve"> </w:t>
      </w:r>
      <w:r w:rsidR="00A63CFC" w:rsidRPr="001215B9">
        <w:rPr>
          <w:rFonts w:ascii="Calibri" w:hAnsi="Calibri"/>
          <w:i/>
          <w:spacing w:val="-1"/>
        </w:rPr>
        <w:t>Persons</w:t>
      </w:r>
      <w:r w:rsidR="00A63CFC" w:rsidRPr="001215B9">
        <w:rPr>
          <w:rFonts w:ascii="Calibri" w:hAnsi="Calibri"/>
          <w:spacing w:val="-1"/>
        </w:rPr>
        <w:t>.</w:t>
      </w:r>
      <w:r w:rsidR="00351543">
        <w:rPr>
          <w:rFonts w:ascii="Calibri" w:hAnsi="Calibri"/>
          <w:spacing w:val="-1"/>
        </w:rPr>
        <w:t xml:space="preserve"> </w:t>
      </w:r>
      <w:r w:rsidR="00A63CFC" w:rsidRPr="001215B9">
        <w:rPr>
          <w:rFonts w:ascii="Calibri" w:hAnsi="Calibri"/>
          <w:spacing w:val="-1"/>
        </w:rPr>
        <w:t>Its</w:t>
      </w:r>
      <w:r w:rsidR="004B2132">
        <w:rPr>
          <w:rFonts w:ascii="Calibri" w:hAnsi="Calibri"/>
          <w:spacing w:val="-1"/>
        </w:rPr>
        <w:t xml:space="preserve"> </w:t>
      </w:r>
      <w:r w:rsidR="00A63CFC" w:rsidRPr="001215B9">
        <w:rPr>
          <w:rFonts w:ascii="Calibri" w:hAnsi="Calibri"/>
          <w:spacing w:val="-1"/>
        </w:rPr>
        <w:t>first</w:t>
      </w:r>
      <w:r w:rsidR="004B2132">
        <w:rPr>
          <w:rFonts w:ascii="Calibri" w:hAnsi="Calibri"/>
          <w:spacing w:val="-1"/>
        </w:rPr>
        <w:t xml:space="preserve"> </w:t>
      </w:r>
      <w:r w:rsidR="00A63CFC" w:rsidRPr="001215B9">
        <w:rPr>
          <w:rFonts w:ascii="Calibri" w:hAnsi="Calibri"/>
          <w:spacing w:val="-1"/>
        </w:rPr>
        <w:t>paragraph</w:t>
      </w:r>
      <w:r w:rsidR="004B2132">
        <w:rPr>
          <w:rFonts w:ascii="Calibri" w:hAnsi="Calibri"/>
          <w:spacing w:val="-1"/>
        </w:rPr>
        <w:t xml:space="preserve"> </w:t>
      </w:r>
      <w:r w:rsidR="00A63CFC" w:rsidRPr="001215B9">
        <w:rPr>
          <w:rFonts w:ascii="Calibri" w:hAnsi="Calibri"/>
          <w:spacing w:val="-1"/>
        </w:rPr>
        <w:t>states</w:t>
      </w:r>
      <w:r w:rsidR="004B2132">
        <w:rPr>
          <w:rFonts w:ascii="Calibri" w:hAnsi="Calibri"/>
          <w:spacing w:val="-1"/>
        </w:rPr>
        <w:t xml:space="preserve"> </w:t>
      </w:r>
      <w:r w:rsidR="00A63CFC" w:rsidRPr="001215B9">
        <w:rPr>
          <w:rFonts w:ascii="Calibri" w:hAnsi="Calibri"/>
          <w:spacing w:val="-1"/>
        </w:rPr>
        <w:t>that</w:t>
      </w:r>
      <w:r w:rsidR="004B2132">
        <w:rPr>
          <w:rFonts w:ascii="Calibri" w:hAnsi="Calibri"/>
          <w:spacing w:val="-1"/>
        </w:rPr>
        <w:t xml:space="preserve"> </w:t>
      </w:r>
      <w:r w:rsidR="00A63CFC" w:rsidRPr="001215B9">
        <w:rPr>
          <w:rFonts w:ascii="Calibri" w:hAnsi="Calibri"/>
          <w:spacing w:val="-1"/>
        </w:rPr>
        <w:t>commitments</w:t>
      </w:r>
      <w:r w:rsidR="004B2132">
        <w:rPr>
          <w:rFonts w:ascii="Calibri" w:hAnsi="Calibri"/>
          <w:spacing w:val="-1"/>
        </w:rPr>
        <w:t xml:space="preserve"> </w:t>
      </w:r>
      <w:r w:rsidR="00A63CFC" w:rsidRPr="001215B9">
        <w:rPr>
          <w:rFonts w:ascii="Calibri" w:hAnsi="Calibri"/>
        </w:rPr>
        <w:t>under</w:t>
      </w:r>
      <w:r w:rsidR="004B2132">
        <w:rPr>
          <w:rFonts w:ascii="Calibri" w:hAnsi="Calibri"/>
        </w:rPr>
        <w:t xml:space="preserve"> </w:t>
      </w:r>
      <w:r w:rsidR="00A63CFC" w:rsidRPr="001215B9">
        <w:rPr>
          <w:rFonts w:ascii="Calibri" w:hAnsi="Calibri"/>
          <w:spacing w:val="-1"/>
        </w:rPr>
        <w:t>this</w:t>
      </w:r>
      <w:r w:rsidR="004B2132">
        <w:rPr>
          <w:rFonts w:ascii="Calibri" w:hAnsi="Calibri"/>
          <w:spacing w:val="-1"/>
        </w:rPr>
        <w:t xml:space="preserve"> </w:t>
      </w:r>
      <w:r w:rsidR="00A63CFC" w:rsidRPr="001215B9">
        <w:rPr>
          <w:rFonts w:ascii="Calibri" w:hAnsi="Calibri"/>
          <w:spacing w:val="-1"/>
        </w:rPr>
        <w:t>mode</w:t>
      </w:r>
      <w:r w:rsidR="004B2132">
        <w:rPr>
          <w:rFonts w:ascii="Calibri" w:hAnsi="Calibri"/>
          <w:spacing w:val="-1"/>
        </w:rPr>
        <w:t xml:space="preserve"> </w:t>
      </w:r>
      <w:r w:rsidR="00A63CFC" w:rsidRPr="001215B9">
        <w:rPr>
          <w:rFonts w:ascii="Calibri" w:hAnsi="Calibri"/>
          <w:spacing w:val="-1"/>
        </w:rPr>
        <w:t>relate</w:t>
      </w:r>
      <w:r w:rsidR="004B2132">
        <w:rPr>
          <w:rFonts w:ascii="Calibri" w:hAnsi="Calibri"/>
          <w:spacing w:val="-1"/>
        </w:rPr>
        <w:t xml:space="preserve"> </w:t>
      </w:r>
      <w:r w:rsidR="00A63CFC" w:rsidRPr="001215B9">
        <w:rPr>
          <w:rFonts w:ascii="Calibri" w:hAnsi="Calibri"/>
        </w:rPr>
        <w:t>only</w:t>
      </w:r>
      <w:r w:rsidR="004B2132">
        <w:rPr>
          <w:rFonts w:ascii="Calibri" w:hAnsi="Calibri"/>
        </w:rPr>
        <w:t xml:space="preserve"> </w:t>
      </w:r>
      <w:r w:rsidR="00A63CFC" w:rsidRPr="001215B9">
        <w:rPr>
          <w:rFonts w:ascii="Calibri" w:hAnsi="Calibri"/>
          <w:spacing w:val="1"/>
        </w:rPr>
        <w:t>to</w:t>
      </w:r>
      <w:r w:rsidR="004B2132">
        <w:rPr>
          <w:rFonts w:ascii="Calibri" w:hAnsi="Calibri"/>
          <w:spacing w:val="1"/>
        </w:rPr>
        <w:t xml:space="preserve"> </w:t>
      </w:r>
      <w:r w:rsidR="00A63CFC" w:rsidRPr="001215B9">
        <w:rPr>
          <w:rFonts w:ascii="Calibri" w:hAnsi="Calibri"/>
        </w:rPr>
        <w:t>temporary</w:t>
      </w:r>
      <w:r w:rsidR="004B2132">
        <w:rPr>
          <w:rFonts w:ascii="Calibri" w:hAnsi="Calibri"/>
        </w:rPr>
        <w:t xml:space="preserve"> </w:t>
      </w:r>
      <w:r w:rsidR="00A63CFC" w:rsidRPr="001215B9">
        <w:rPr>
          <w:rFonts w:ascii="Calibri" w:hAnsi="Calibri"/>
          <w:spacing w:val="-1"/>
        </w:rPr>
        <w:t>admission</w:t>
      </w:r>
      <w:r w:rsidR="004B2132">
        <w:rPr>
          <w:rFonts w:ascii="Calibri" w:hAnsi="Calibri"/>
          <w:spacing w:val="-1"/>
        </w:rPr>
        <w:t xml:space="preserve"> </w:t>
      </w:r>
      <w:r w:rsidR="00A63CFC" w:rsidRPr="001215B9">
        <w:rPr>
          <w:rFonts w:ascii="Calibri" w:hAnsi="Calibri"/>
        </w:rPr>
        <w:t>of</w:t>
      </w:r>
      <w:r w:rsidR="004B2132">
        <w:rPr>
          <w:rFonts w:ascii="Calibri" w:hAnsi="Calibri"/>
        </w:rPr>
        <w:t xml:space="preserve"> </w:t>
      </w:r>
      <w:r w:rsidR="00A63CFC" w:rsidRPr="001215B9">
        <w:rPr>
          <w:rFonts w:ascii="Calibri" w:hAnsi="Calibri"/>
          <w:spacing w:val="-1"/>
        </w:rPr>
        <w:t>foreign</w:t>
      </w:r>
      <w:r w:rsidR="008C3956">
        <w:rPr>
          <w:rFonts w:ascii="Calibri" w:hAnsi="Calibri"/>
          <w:spacing w:val="-1"/>
        </w:rPr>
        <w:t>ers</w:t>
      </w:r>
      <w:r>
        <w:rPr>
          <w:rStyle w:val="Funotenzeichen"/>
          <w:rFonts w:ascii="Calibri" w:hAnsi="Calibri"/>
          <w:spacing w:val="-1"/>
        </w:rPr>
        <w:footnoteReference w:id="8"/>
      </w:r>
      <w:r w:rsidR="006A66FF">
        <w:rPr>
          <w:rFonts w:ascii="Calibri" w:hAnsi="Calibri"/>
          <w:spacing w:val="-1"/>
        </w:rPr>
        <w:t xml:space="preserve"> </w:t>
      </w:r>
      <w:r>
        <w:rPr>
          <w:rFonts w:ascii="Calibri" w:hAnsi="Calibri"/>
          <w:spacing w:val="20"/>
        </w:rPr>
        <w:t>and</w:t>
      </w:r>
      <w:r w:rsidR="004B2132">
        <w:rPr>
          <w:rFonts w:ascii="Calibri" w:hAnsi="Calibri"/>
          <w:spacing w:val="20"/>
        </w:rPr>
        <w:t xml:space="preserve"> </w:t>
      </w:r>
      <w:r>
        <w:rPr>
          <w:rFonts w:ascii="Calibri" w:hAnsi="Calibri"/>
        </w:rPr>
        <w:t>t</w:t>
      </w:r>
      <w:r w:rsidR="00A63CFC" w:rsidRPr="001215B9">
        <w:rPr>
          <w:rFonts w:ascii="Calibri" w:hAnsi="Calibri"/>
        </w:rPr>
        <w:t>he</w:t>
      </w:r>
      <w:r w:rsidR="004B2132">
        <w:rPr>
          <w:rFonts w:ascii="Calibri" w:hAnsi="Calibri"/>
        </w:rPr>
        <w:t xml:space="preserve"> </w:t>
      </w:r>
      <w:r w:rsidR="00A63CFC" w:rsidRPr="001215B9">
        <w:rPr>
          <w:rFonts w:ascii="Calibri" w:hAnsi="Calibri"/>
        </w:rPr>
        <w:t>fourth</w:t>
      </w:r>
      <w:r w:rsidR="004B2132">
        <w:rPr>
          <w:rFonts w:ascii="Calibri" w:hAnsi="Calibri"/>
        </w:rPr>
        <w:t xml:space="preserve"> </w:t>
      </w:r>
      <w:r w:rsidR="004B2132">
        <w:rPr>
          <w:rFonts w:ascii="Calibri" w:hAnsi="Calibri"/>
          <w:spacing w:val="-1"/>
        </w:rPr>
        <w:t>paragraph c</w:t>
      </w:r>
      <w:r w:rsidR="00A63CFC" w:rsidRPr="001215B9">
        <w:rPr>
          <w:rFonts w:ascii="Calibri" w:hAnsi="Calibri"/>
          <w:spacing w:val="-1"/>
        </w:rPr>
        <w:t>ontains</w:t>
      </w:r>
      <w:r w:rsidR="004B2132">
        <w:rPr>
          <w:rFonts w:ascii="Calibri" w:hAnsi="Calibri"/>
          <w:spacing w:val="-1"/>
        </w:rPr>
        <w:t xml:space="preserve"> </w:t>
      </w:r>
      <w:r w:rsidR="00A63CFC" w:rsidRPr="001215B9">
        <w:rPr>
          <w:rFonts w:ascii="Calibri" w:hAnsi="Calibri"/>
        </w:rPr>
        <w:t>a</w:t>
      </w:r>
      <w:r w:rsidR="004B2132">
        <w:rPr>
          <w:rFonts w:ascii="Calibri" w:hAnsi="Calibri"/>
        </w:rPr>
        <w:t xml:space="preserve"> </w:t>
      </w:r>
      <w:r w:rsidR="00A63CFC" w:rsidRPr="001215B9">
        <w:rPr>
          <w:rFonts w:ascii="Calibri" w:hAnsi="Calibri"/>
          <w:spacing w:val="-1"/>
        </w:rPr>
        <w:t>safeguard</w:t>
      </w:r>
      <w:r w:rsidR="004B2132">
        <w:rPr>
          <w:rFonts w:ascii="Calibri" w:hAnsi="Calibri"/>
          <w:spacing w:val="-1"/>
        </w:rPr>
        <w:t xml:space="preserve"> </w:t>
      </w:r>
      <w:r w:rsidR="00707451">
        <w:rPr>
          <w:rFonts w:ascii="Calibri" w:hAnsi="Calibri"/>
        </w:rPr>
        <w:t xml:space="preserve">which </w:t>
      </w:r>
      <w:r w:rsidR="0067291E">
        <w:rPr>
          <w:rFonts w:ascii="Calibri" w:hAnsi="Calibri"/>
        </w:rPr>
        <w:t>won’t</w:t>
      </w:r>
      <w:r w:rsidR="004B2132">
        <w:rPr>
          <w:rFonts w:ascii="Calibri" w:hAnsi="Calibri"/>
        </w:rPr>
        <w:t xml:space="preserve"> </w:t>
      </w:r>
      <w:r w:rsidR="00A63CFC" w:rsidRPr="001215B9">
        <w:rPr>
          <w:rFonts w:ascii="Calibri" w:hAnsi="Calibri"/>
          <w:spacing w:val="-1"/>
        </w:rPr>
        <w:t>"prevent</w:t>
      </w:r>
      <w:r w:rsidR="004B2132">
        <w:rPr>
          <w:rFonts w:ascii="Calibri" w:hAnsi="Calibri"/>
          <w:spacing w:val="-1"/>
        </w:rPr>
        <w:t xml:space="preserve"> </w:t>
      </w:r>
      <w:r w:rsidR="00A63CFC" w:rsidRPr="001215B9">
        <w:rPr>
          <w:rFonts w:ascii="Calibri" w:hAnsi="Calibri"/>
        </w:rPr>
        <w:t>a</w:t>
      </w:r>
      <w:r w:rsidR="004B2132">
        <w:rPr>
          <w:rFonts w:ascii="Calibri" w:hAnsi="Calibri"/>
        </w:rPr>
        <w:t xml:space="preserve"> </w:t>
      </w:r>
      <w:r w:rsidR="00A63CFC" w:rsidRPr="001215B9">
        <w:rPr>
          <w:rFonts w:ascii="Calibri" w:hAnsi="Calibri"/>
          <w:spacing w:val="-1"/>
        </w:rPr>
        <w:t>Member</w:t>
      </w:r>
      <w:r w:rsidR="004B2132">
        <w:rPr>
          <w:rFonts w:ascii="Calibri" w:hAnsi="Calibri"/>
          <w:spacing w:val="-1"/>
        </w:rPr>
        <w:t xml:space="preserve"> </w:t>
      </w:r>
      <w:r w:rsidR="00A63CFC" w:rsidRPr="001215B9">
        <w:rPr>
          <w:rFonts w:ascii="Calibri" w:hAnsi="Calibri"/>
        </w:rPr>
        <w:t>from</w:t>
      </w:r>
      <w:r w:rsidR="004B2132">
        <w:rPr>
          <w:rFonts w:ascii="Calibri" w:hAnsi="Calibri"/>
        </w:rPr>
        <w:t xml:space="preserve"> </w:t>
      </w:r>
      <w:r w:rsidR="00A63CFC" w:rsidRPr="001215B9">
        <w:rPr>
          <w:rFonts w:ascii="Calibri" w:hAnsi="Calibri"/>
          <w:spacing w:val="-1"/>
        </w:rPr>
        <w:t>applying</w:t>
      </w:r>
      <w:r w:rsidR="004B2132">
        <w:rPr>
          <w:rFonts w:ascii="Calibri" w:hAnsi="Calibri"/>
          <w:spacing w:val="-1"/>
        </w:rPr>
        <w:t xml:space="preserve"> </w:t>
      </w:r>
      <w:r w:rsidR="00A63CFC" w:rsidRPr="001215B9">
        <w:rPr>
          <w:rFonts w:ascii="Calibri" w:hAnsi="Calibri"/>
          <w:spacing w:val="-1"/>
        </w:rPr>
        <w:t>measures</w:t>
      </w:r>
      <w:r w:rsidR="004B2132">
        <w:rPr>
          <w:rFonts w:ascii="Calibri" w:hAnsi="Calibri"/>
          <w:spacing w:val="-1"/>
        </w:rPr>
        <w:t xml:space="preserve"> </w:t>
      </w:r>
      <w:r w:rsidR="00A63CFC" w:rsidRPr="001215B9">
        <w:rPr>
          <w:rFonts w:ascii="Calibri" w:hAnsi="Calibri"/>
        </w:rPr>
        <w:t>to</w:t>
      </w:r>
      <w:r w:rsidR="004B2132">
        <w:rPr>
          <w:rFonts w:ascii="Calibri" w:hAnsi="Calibri"/>
        </w:rPr>
        <w:t xml:space="preserve"> </w:t>
      </w:r>
      <w:r w:rsidR="00A63CFC" w:rsidRPr="001215B9">
        <w:rPr>
          <w:rFonts w:ascii="Calibri" w:hAnsi="Calibri"/>
          <w:spacing w:val="-1"/>
        </w:rPr>
        <w:t>regulate</w:t>
      </w:r>
      <w:r w:rsidR="004B2132">
        <w:rPr>
          <w:rFonts w:ascii="Calibri" w:hAnsi="Calibri"/>
          <w:spacing w:val="-1"/>
        </w:rPr>
        <w:t xml:space="preserve"> </w:t>
      </w:r>
      <w:r w:rsidR="00A63CFC" w:rsidRPr="001215B9">
        <w:rPr>
          <w:rFonts w:ascii="Calibri" w:hAnsi="Calibri"/>
        </w:rPr>
        <w:t>the</w:t>
      </w:r>
      <w:r w:rsidR="004B2132">
        <w:rPr>
          <w:rFonts w:ascii="Calibri" w:hAnsi="Calibri"/>
        </w:rPr>
        <w:t xml:space="preserve"> </w:t>
      </w:r>
      <w:r w:rsidR="00A63CFC" w:rsidRPr="001215B9">
        <w:rPr>
          <w:rFonts w:ascii="Calibri" w:hAnsi="Calibri"/>
        </w:rPr>
        <w:t>entry</w:t>
      </w:r>
      <w:r w:rsidR="004B2132">
        <w:rPr>
          <w:rFonts w:ascii="Calibri" w:hAnsi="Calibri"/>
        </w:rPr>
        <w:t xml:space="preserve"> </w:t>
      </w:r>
      <w:r w:rsidR="00A63CFC" w:rsidRPr="001215B9">
        <w:rPr>
          <w:rFonts w:ascii="Calibri" w:hAnsi="Calibri"/>
          <w:spacing w:val="-1"/>
        </w:rPr>
        <w:t>of</w:t>
      </w:r>
      <w:r w:rsidR="004B2132">
        <w:rPr>
          <w:rFonts w:ascii="Calibri" w:hAnsi="Calibri"/>
          <w:spacing w:val="-1"/>
        </w:rPr>
        <w:t xml:space="preserve"> </w:t>
      </w:r>
      <w:r w:rsidR="00A63CFC" w:rsidRPr="001215B9">
        <w:rPr>
          <w:rFonts w:ascii="Calibri" w:hAnsi="Calibri"/>
          <w:spacing w:val="-1"/>
        </w:rPr>
        <w:t>natural</w:t>
      </w:r>
      <w:r w:rsidR="004B2132">
        <w:rPr>
          <w:rFonts w:ascii="Calibri" w:hAnsi="Calibri"/>
          <w:spacing w:val="-1"/>
        </w:rPr>
        <w:t xml:space="preserve"> </w:t>
      </w:r>
      <w:r w:rsidR="00A63CFC" w:rsidRPr="001215B9">
        <w:rPr>
          <w:rFonts w:ascii="Calibri" w:hAnsi="Calibri"/>
          <w:spacing w:val="-1"/>
        </w:rPr>
        <w:t>persons</w:t>
      </w:r>
      <w:r w:rsidR="004B2132">
        <w:rPr>
          <w:rFonts w:ascii="Calibri" w:hAnsi="Calibri"/>
          <w:spacing w:val="-1"/>
        </w:rPr>
        <w:t xml:space="preserve"> </w:t>
      </w:r>
      <w:r w:rsidR="00A63CFC" w:rsidRPr="001215B9">
        <w:rPr>
          <w:rFonts w:ascii="Calibri" w:hAnsi="Calibri"/>
          <w:spacing w:val="-1"/>
        </w:rPr>
        <w:t>into,</w:t>
      </w:r>
      <w:r w:rsidR="004B2132">
        <w:rPr>
          <w:rFonts w:ascii="Calibri" w:hAnsi="Calibri"/>
          <w:spacing w:val="-1"/>
        </w:rPr>
        <w:t xml:space="preserve"> </w:t>
      </w:r>
      <w:r w:rsidR="00A63CFC" w:rsidRPr="001215B9">
        <w:rPr>
          <w:rFonts w:ascii="Calibri" w:hAnsi="Calibri"/>
        </w:rPr>
        <w:t>or</w:t>
      </w:r>
      <w:r w:rsidR="004B2132">
        <w:rPr>
          <w:rFonts w:ascii="Calibri" w:hAnsi="Calibri"/>
        </w:rPr>
        <w:t xml:space="preserve"> </w:t>
      </w:r>
      <w:r w:rsidR="00A63CFC" w:rsidRPr="001215B9">
        <w:rPr>
          <w:rFonts w:ascii="Calibri" w:hAnsi="Calibri"/>
          <w:spacing w:val="-1"/>
        </w:rPr>
        <w:t>their</w:t>
      </w:r>
      <w:r w:rsidR="004B2132">
        <w:rPr>
          <w:rFonts w:ascii="Calibri" w:hAnsi="Calibri"/>
          <w:spacing w:val="-1"/>
        </w:rPr>
        <w:t xml:space="preserve"> </w:t>
      </w:r>
      <w:r w:rsidR="00A63CFC" w:rsidRPr="001215B9">
        <w:rPr>
          <w:rFonts w:ascii="Calibri" w:hAnsi="Calibri"/>
          <w:spacing w:val="-1"/>
        </w:rPr>
        <w:t>temporary</w:t>
      </w:r>
      <w:r w:rsidR="004B2132">
        <w:rPr>
          <w:rFonts w:ascii="Calibri" w:hAnsi="Calibri"/>
          <w:spacing w:val="-1"/>
        </w:rPr>
        <w:t xml:space="preserve"> </w:t>
      </w:r>
      <w:r w:rsidR="00A63CFC" w:rsidRPr="001215B9">
        <w:rPr>
          <w:rFonts w:ascii="Calibri" w:hAnsi="Calibri"/>
        </w:rPr>
        <w:t>stay</w:t>
      </w:r>
      <w:r w:rsidR="004B2132">
        <w:rPr>
          <w:rFonts w:ascii="Calibri" w:hAnsi="Calibri"/>
        </w:rPr>
        <w:t xml:space="preserve"> </w:t>
      </w:r>
      <w:r w:rsidR="00A63CFC" w:rsidRPr="001215B9">
        <w:rPr>
          <w:rFonts w:ascii="Calibri" w:hAnsi="Calibri"/>
        </w:rPr>
        <w:t>in,</w:t>
      </w:r>
      <w:r w:rsidR="004B2132">
        <w:rPr>
          <w:rFonts w:ascii="Calibri" w:hAnsi="Calibri"/>
        </w:rPr>
        <w:t xml:space="preserve"> </w:t>
      </w:r>
      <w:r w:rsidR="00A63CFC" w:rsidRPr="001215B9">
        <w:rPr>
          <w:rFonts w:ascii="Calibri" w:hAnsi="Calibri"/>
          <w:spacing w:val="-1"/>
        </w:rPr>
        <w:t>its</w:t>
      </w:r>
      <w:r w:rsidR="004B2132">
        <w:rPr>
          <w:rFonts w:ascii="Calibri" w:hAnsi="Calibri"/>
          <w:spacing w:val="-1"/>
        </w:rPr>
        <w:t xml:space="preserve"> </w:t>
      </w:r>
      <w:r w:rsidR="00A63CFC" w:rsidRPr="001215B9">
        <w:rPr>
          <w:rFonts w:ascii="Calibri" w:hAnsi="Calibri"/>
          <w:spacing w:val="-1"/>
        </w:rPr>
        <w:t>territory,</w:t>
      </w:r>
      <w:r w:rsidR="004B2132">
        <w:rPr>
          <w:rFonts w:ascii="Calibri" w:hAnsi="Calibri"/>
          <w:spacing w:val="-1"/>
        </w:rPr>
        <w:t xml:space="preserve"> i</w:t>
      </w:r>
      <w:r w:rsidR="00A63CFC" w:rsidRPr="001215B9">
        <w:rPr>
          <w:rFonts w:ascii="Calibri" w:hAnsi="Calibri"/>
          <w:spacing w:val="-1"/>
        </w:rPr>
        <w:t>ncluding</w:t>
      </w:r>
      <w:r w:rsidR="004B2132">
        <w:rPr>
          <w:rFonts w:ascii="Calibri" w:hAnsi="Calibri"/>
          <w:spacing w:val="-1"/>
        </w:rPr>
        <w:t xml:space="preserve"> </w:t>
      </w:r>
      <w:r w:rsidR="00A63CFC" w:rsidRPr="001215B9">
        <w:rPr>
          <w:rFonts w:ascii="Calibri" w:hAnsi="Calibri"/>
          <w:spacing w:val="-1"/>
        </w:rPr>
        <w:t>those</w:t>
      </w:r>
      <w:r w:rsidR="004B2132">
        <w:rPr>
          <w:rFonts w:ascii="Calibri" w:hAnsi="Calibri"/>
          <w:spacing w:val="-1"/>
        </w:rPr>
        <w:t xml:space="preserve"> </w:t>
      </w:r>
      <w:r w:rsidR="00A63CFC" w:rsidRPr="001215B9">
        <w:rPr>
          <w:rFonts w:ascii="Calibri" w:hAnsi="Calibri"/>
          <w:spacing w:val="-1"/>
        </w:rPr>
        <w:t>measures</w:t>
      </w:r>
      <w:r w:rsidR="004B2132">
        <w:rPr>
          <w:rFonts w:ascii="Calibri" w:hAnsi="Calibri"/>
          <w:spacing w:val="-1"/>
        </w:rPr>
        <w:t xml:space="preserve"> </w:t>
      </w:r>
      <w:r w:rsidR="00A63CFC" w:rsidRPr="001215B9">
        <w:rPr>
          <w:rFonts w:ascii="Calibri" w:hAnsi="Calibri"/>
          <w:spacing w:val="-1"/>
        </w:rPr>
        <w:t>necessary</w:t>
      </w:r>
      <w:r w:rsidR="004B2132">
        <w:rPr>
          <w:rFonts w:ascii="Calibri" w:hAnsi="Calibri"/>
          <w:spacing w:val="-1"/>
        </w:rPr>
        <w:t xml:space="preserve"> </w:t>
      </w:r>
      <w:r w:rsidR="00A63CFC" w:rsidRPr="001215B9">
        <w:rPr>
          <w:rFonts w:ascii="Calibri" w:hAnsi="Calibri"/>
        </w:rPr>
        <w:t>to</w:t>
      </w:r>
      <w:r w:rsidR="004B2132">
        <w:rPr>
          <w:rFonts w:ascii="Calibri" w:hAnsi="Calibri"/>
        </w:rPr>
        <w:t xml:space="preserve"> </w:t>
      </w:r>
      <w:r w:rsidR="00A63CFC" w:rsidRPr="001215B9">
        <w:rPr>
          <w:rFonts w:ascii="Calibri" w:hAnsi="Calibri"/>
          <w:spacing w:val="-1"/>
        </w:rPr>
        <w:t>protection</w:t>
      </w:r>
      <w:r w:rsidR="004B2132">
        <w:rPr>
          <w:rFonts w:ascii="Calibri" w:hAnsi="Calibri"/>
          <w:spacing w:val="-1"/>
        </w:rPr>
        <w:t xml:space="preserve"> </w:t>
      </w:r>
      <w:r w:rsidR="00A63CFC" w:rsidRPr="001215B9">
        <w:rPr>
          <w:rFonts w:ascii="Calibri" w:hAnsi="Calibri"/>
        </w:rPr>
        <w:t>the</w:t>
      </w:r>
      <w:r w:rsidR="004B2132">
        <w:rPr>
          <w:rFonts w:ascii="Calibri" w:hAnsi="Calibri"/>
        </w:rPr>
        <w:t xml:space="preserve"> </w:t>
      </w:r>
      <w:r w:rsidR="00A63CFC" w:rsidRPr="001215B9">
        <w:rPr>
          <w:rFonts w:ascii="Calibri" w:hAnsi="Calibri"/>
          <w:spacing w:val="-1"/>
        </w:rPr>
        <w:t>integrity</w:t>
      </w:r>
      <w:r w:rsidR="004B2132">
        <w:rPr>
          <w:rFonts w:ascii="Calibri" w:hAnsi="Calibri"/>
          <w:spacing w:val="-1"/>
        </w:rPr>
        <w:t xml:space="preserve"> </w:t>
      </w:r>
      <w:r w:rsidR="00A63CFC" w:rsidRPr="001215B9">
        <w:rPr>
          <w:rFonts w:ascii="Calibri" w:hAnsi="Calibri"/>
          <w:spacing w:val="-1"/>
        </w:rPr>
        <w:t>of,</w:t>
      </w:r>
      <w:r w:rsidR="004B2132">
        <w:rPr>
          <w:rFonts w:ascii="Calibri" w:hAnsi="Calibri"/>
          <w:spacing w:val="-1"/>
        </w:rPr>
        <w:t xml:space="preserve"> </w:t>
      </w:r>
      <w:r w:rsidR="00A63CFC" w:rsidRPr="001215B9">
        <w:rPr>
          <w:rFonts w:ascii="Calibri" w:hAnsi="Calibri"/>
        </w:rPr>
        <w:t>and</w:t>
      </w:r>
      <w:r w:rsidR="004B2132">
        <w:rPr>
          <w:rFonts w:ascii="Calibri" w:hAnsi="Calibri"/>
        </w:rPr>
        <w:t xml:space="preserve"> </w:t>
      </w:r>
      <w:r w:rsidR="00A63CFC" w:rsidRPr="001215B9">
        <w:rPr>
          <w:rFonts w:ascii="Calibri" w:hAnsi="Calibri"/>
        </w:rPr>
        <w:t>to</w:t>
      </w:r>
      <w:r w:rsidR="004B2132">
        <w:rPr>
          <w:rFonts w:ascii="Calibri" w:hAnsi="Calibri"/>
        </w:rPr>
        <w:t xml:space="preserve"> </w:t>
      </w:r>
      <w:r w:rsidR="00A63CFC" w:rsidRPr="001215B9">
        <w:rPr>
          <w:rFonts w:ascii="Calibri" w:hAnsi="Calibri"/>
          <w:spacing w:val="-1"/>
        </w:rPr>
        <w:t>ensure</w:t>
      </w:r>
      <w:r w:rsidR="004B2132">
        <w:rPr>
          <w:rFonts w:ascii="Calibri" w:hAnsi="Calibri"/>
          <w:spacing w:val="-1"/>
        </w:rPr>
        <w:t xml:space="preserve"> </w:t>
      </w:r>
      <w:r w:rsidR="00A63CFC" w:rsidRPr="001215B9">
        <w:rPr>
          <w:rFonts w:ascii="Calibri" w:hAnsi="Calibri"/>
        </w:rPr>
        <w:t>the</w:t>
      </w:r>
      <w:r w:rsidR="004B2132">
        <w:rPr>
          <w:rFonts w:ascii="Calibri" w:hAnsi="Calibri"/>
        </w:rPr>
        <w:t xml:space="preserve"> </w:t>
      </w:r>
      <w:r w:rsidR="00A63CFC" w:rsidRPr="001215B9">
        <w:rPr>
          <w:rFonts w:ascii="Calibri" w:hAnsi="Calibri"/>
          <w:spacing w:val="-1"/>
        </w:rPr>
        <w:t>orderly</w:t>
      </w:r>
      <w:r w:rsidR="004B2132">
        <w:rPr>
          <w:rFonts w:ascii="Calibri" w:hAnsi="Calibri"/>
          <w:spacing w:val="-1"/>
        </w:rPr>
        <w:t xml:space="preserve"> </w:t>
      </w:r>
      <w:r w:rsidR="00A63CFC" w:rsidRPr="001215B9">
        <w:rPr>
          <w:rFonts w:ascii="Calibri" w:hAnsi="Calibri"/>
          <w:spacing w:val="-1"/>
        </w:rPr>
        <w:t>movement</w:t>
      </w:r>
      <w:r w:rsidR="004B2132">
        <w:rPr>
          <w:rFonts w:ascii="Calibri" w:hAnsi="Calibri"/>
          <w:spacing w:val="-1"/>
        </w:rPr>
        <w:t xml:space="preserve"> </w:t>
      </w:r>
      <w:r w:rsidR="00A63CFC" w:rsidRPr="001215B9">
        <w:rPr>
          <w:rFonts w:ascii="Calibri" w:hAnsi="Calibri"/>
        </w:rPr>
        <w:t>of</w:t>
      </w:r>
      <w:r w:rsidR="004B2132">
        <w:rPr>
          <w:rFonts w:ascii="Calibri" w:hAnsi="Calibri"/>
        </w:rPr>
        <w:t xml:space="preserve"> </w:t>
      </w:r>
      <w:r w:rsidR="00A63CFC" w:rsidRPr="001215B9">
        <w:rPr>
          <w:rFonts w:ascii="Calibri" w:hAnsi="Calibri"/>
          <w:spacing w:val="-1"/>
        </w:rPr>
        <w:t>natural</w:t>
      </w:r>
      <w:r w:rsidR="004B2132">
        <w:rPr>
          <w:rFonts w:ascii="Calibri" w:hAnsi="Calibri"/>
          <w:spacing w:val="-1"/>
        </w:rPr>
        <w:t xml:space="preserve"> </w:t>
      </w:r>
      <w:r w:rsidR="00A63CFC" w:rsidRPr="001215B9">
        <w:rPr>
          <w:rFonts w:ascii="Calibri" w:hAnsi="Calibri"/>
          <w:spacing w:val="-1"/>
        </w:rPr>
        <w:t>persons</w:t>
      </w:r>
      <w:r w:rsidR="004B2132">
        <w:rPr>
          <w:rFonts w:ascii="Calibri" w:hAnsi="Calibri"/>
          <w:spacing w:val="-1"/>
        </w:rPr>
        <w:t xml:space="preserve"> </w:t>
      </w:r>
      <w:r w:rsidR="006A66FF">
        <w:rPr>
          <w:rFonts w:ascii="Calibri" w:hAnsi="Calibri"/>
          <w:spacing w:val="-1"/>
        </w:rPr>
        <w:t>across</w:t>
      </w:r>
      <w:r w:rsidR="004B2132">
        <w:rPr>
          <w:rFonts w:ascii="Calibri" w:hAnsi="Calibri"/>
          <w:spacing w:val="-1"/>
        </w:rPr>
        <w:t xml:space="preserve"> </w:t>
      </w:r>
      <w:r w:rsidR="00A63CFC" w:rsidRPr="001215B9">
        <w:rPr>
          <w:rFonts w:ascii="Calibri" w:hAnsi="Calibri"/>
        </w:rPr>
        <w:t xml:space="preserve">its </w:t>
      </w:r>
      <w:r w:rsidR="00A63CFC" w:rsidRPr="001215B9">
        <w:rPr>
          <w:rFonts w:ascii="Calibri" w:hAnsi="Calibri"/>
          <w:spacing w:val="-1"/>
        </w:rPr>
        <w:t>borders,</w:t>
      </w:r>
      <w:r w:rsidR="004B2132">
        <w:rPr>
          <w:rFonts w:ascii="Calibri" w:hAnsi="Calibri"/>
          <w:spacing w:val="-1"/>
        </w:rPr>
        <w:t xml:space="preserve"> </w:t>
      </w:r>
      <w:r w:rsidR="00A63CFC" w:rsidRPr="001215B9">
        <w:rPr>
          <w:rFonts w:ascii="Calibri" w:hAnsi="Calibri"/>
          <w:spacing w:val="-1"/>
        </w:rPr>
        <w:t>provided</w:t>
      </w:r>
      <w:r w:rsidR="004B2132">
        <w:rPr>
          <w:rFonts w:ascii="Calibri" w:hAnsi="Calibri"/>
          <w:spacing w:val="-1"/>
        </w:rPr>
        <w:t xml:space="preserve"> </w:t>
      </w:r>
      <w:r w:rsidR="00A63CFC" w:rsidRPr="001215B9">
        <w:rPr>
          <w:rFonts w:ascii="Calibri" w:hAnsi="Calibri"/>
          <w:spacing w:val="-1"/>
        </w:rPr>
        <w:t>that</w:t>
      </w:r>
      <w:r w:rsidR="004B2132">
        <w:rPr>
          <w:rFonts w:ascii="Calibri" w:hAnsi="Calibri"/>
          <w:spacing w:val="-1"/>
        </w:rPr>
        <w:t xml:space="preserve"> </w:t>
      </w:r>
      <w:r w:rsidR="00A63CFC" w:rsidRPr="001215B9">
        <w:rPr>
          <w:rFonts w:ascii="Calibri" w:hAnsi="Calibri"/>
        </w:rPr>
        <w:t>such</w:t>
      </w:r>
      <w:r w:rsidR="004B2132">
        <w:rPr>
          <w:rFonts w:ascii="Calibri" w:hAnsi="Calibri"/>
        </w:rPr>
        <w:t xml:space="preserve"> </w:t>
      </w:r>
      <w:r w:rsidR="00A63CFC" w:rsidRPr="001215B9">
        <w:rPr>
          <w:rFonts w:ascii="Calibri" w:hAnsi="Calibri"/>
          <w:spacing w:val="-2"/>
        </w:rPr>
        <w:t>measures</w:t>
      </w:r>
      <w:r w:rsidR="004B2132">
        <w:rPr>
          <w:rFonts w:ascii="Calibri" w:hAnsi="Calibri"/>
          <w:spacing w:val="-2"/>
        </w:rPr>
        <w:t xml:space="preserve"> </w:t>
      </w:r>
      <w:r w:rsidR="00A63CFC" w:rsidRPr="001215B9">
        <w:rPr>
          <w:rFonts w:ascii="Calibri" w:hAnsi="Calibri"/>
          <w:spacing w:val="-1"/>
        </w:rPr>
        <w:t>are</w:t>
      </w:r>
      <w:r w:rsidR="004B2132">
        <w:rPr>
          <w:rFonts w:ascii="Calibri" w:hAnsi="Calibri"/>
          <w:spacing w:val="-1"/>
        </w:rPr>
        <w:t xml:space="preserve"> </w:t>
      </w:r>
      <w:r w:rsidR="00A63CFC" w:rsidRPr="001215B9">
        <w:rPr>
          <w:rFonts w:ascii="Calibri" w:hAnsi="Calibri"/>
          <w:spacing w:val="-1"/>
        </w:rPr>
        <w:t>not</w:t>
      </w:r>
      <w:r w:rsidR="004B2132">
        <w:rPr>
          <w:rFonts w:ascii="Calibri" w:hAnsi="Calibri"/>
          <w:spacing w:val="-1"/>
        </w:rPr>
        <w:t xml:space="preserve"> </w:t>
      </w:r>
      <w:r w:rsidR="00A63CFC" w:rsidRPr="001215B9">
        <w:rPr>
          <w:rFonts w:ascii="Calibri" w:hAnsi="Calibri"/>
          <w:spacing w:val="-1"/>
        </w:rPr>
        <w:t>applied</w:t>
      </w:r>
      <w:r w:rsidR="004B2132">
        <w:rPr>
          <w:rFonts w:ascii="Calibri" w:hAnsi="Calibri"/>
          <w:spacing w:val="-1"/>
        </w:rPr>
        <w:t xml:space="preserve"> </w:t>
      </w:r>
      <w:r w:rsidR="00A63CFC" w:rsidRPr="001215B9">
        <w:rPr>
          <w:rFonts w:ascii="Calibri" w:hAnsi="Calibri"/>
        </w:rPr>
        <w:t>in</w:t>
      </w:r>
      <w:r w:rsidR="004B2132">
        <w:rPr>
          <w:rFonts w:ascii="Calibri" w:hAnsi="Calibri"/>
        </w:rPr>
        <w:t xml:space="preserve"> </w:t>
      </w:r>
      <w:r w:rsidR="00A63CFC" w:rsidRPr="001215B9">
        <w:rPr>
          <w:rFonts w:ascii="Calibri" w:hAnsi="Calibri"/>
          <w:spacing w:val="-1"/>
        </w:rPr>
        <w:t>such</w:t>
      </w:r>
      <w:r w:rsidR="004B2132">
        <w:rPr>
          <w:rFonts w:ascii="Calibri" w:hAnsi="Calibri"/>
          <w:spacing w:val="-1"/>
        </w:rPr>
        <w:t xml:space="preserve"> </w:t>
      </w:r>
      <w:r w:rsidR="00A63CFC" w:rsidRPr="001215B9">
        <w:rPr>
          <w:rFonts w:ascii="Calibri" w:hAnsi="Calibri"/>
        </w:rPr>
        <w:t>a</w:t>
      </w:r>
      <w:r w:rsidR="004B2132">
        <w:rPr>
          <w:rFonts w:ascii="Calibri" w:hAnsi="Calibri"/>
        </w:rPr>
        <w:t xml:space="preserve"> </w:t>
      </w:r>
      <w:r w:rsidR="00A63CFC" w:rsidRPr="001215B9">
        <w:rPr>
          <w:rFonts w:ascii="Calibri" w:hAnsi="Calibri"/>
          <w:spacing w:val="-1"/>
        </w:rPr>
        <w:t>manner</w:t>
      </w:r>
      <w:r w:rsidR="004B2132">
        <w:rPr>
          <w:rFonts w:ascii="Calibri" w:hAnsi="Calibri"/>
          <w:spacing w:val="-1"/>
        </w:rPr>
        <w:t xml:space="preserve"> </w:t>
      </w:r>
      <w:r w:rsidR="00A63CFC" w:rsidRPr="001215B9">
        <w:rPr>
          <w:rFonts w:ascii="Calibri" w:hAnsi="Calibri"/>
          <w:spacing w:val="-3"/>
        </w:rPr>
        <w:t>as</w:t>
      </w:r>
      <w:r w:rsidR="004B2132">
        <w:rPr>
          <w:rFonts w:ascii="Calibri" w:hAnsi="Calibri"/>
          <w:spacing w:val="-3"/>
        </w:rPr>
        <w:t xml:space="preserve"> </w:t>
      </w:r>
      <w:r w:rsidR="00A63CFC" w:rsidRPr="001215B9">
        <w:rPr>
          <w:rFonts w:ascii="Calibri" w:hAnsi="Calibri"/>
        </w:rPr>
        <w:t>to</w:t>
      </w:r>
      <w:r w:rsidR="004B2132">
        <w:rPr>
          <w:rFonts w:ascii="Calibri" w:hAnsi="Calibri"/>
        </w:rPr>
        <w:t xml:space="preserve"> </w:t>
      </w:r>
      <w:r w:rsidR="00A63CFC" w:rsidRPr="001215B9">
        <w:rPr>
          <w:rFonts w:ascii="Calibri" w:hAnsi="Calibri"/>
          <w:spacing w:val="-1"/>
        </w:rPr>
        <w:t>nullify</w:t>
      </w:r>
      <w:r w:rsidR="004B2132">
        <w:rPr>
          <w:rFonts w:ascii="Calibri" w:hAnsi="Calibri"/>
          <w:spacing w:val="-1"/>
        </w:rPr>
        <w:t xml:space="preserve"> </w:t>
      </w:r>
      <w:r w:rsidR="00A63CFC" w:rsidRPr="001215B9">
        <w:rPr>
          <w:rFonts w:ascii="Calibri" w:hAnsi="Calibri"/>
        </w:rPr>
        <w:t>or</w:t>
      </w:r>
      <w:r w:rsidR="004B2132">
        <w:rPr>
          <w:rFonts w:ascii="Calibri" w:hAnsi="Calibri"/>
        </w:rPr>
        <w:t xml:space="preserve"> </w:t>
      </w:r>
      <w:r w:rsidR="00A63CFC" w:rsidRPr="001215B9">
        <w:rPr>
          <w:rFonts w:ascii="Calibri" w:hAnsi="Calibri"/>
          <w:spacing w:val="-1"/>
        </w:rPr>
        <w:t>impair</w:t>
      </w:r>
      <w:r w:rsidR="004B2132">
        <w:rPr>
          <w:rFonts w:ascii="Calibri" w:hAnsi="Calibri"/>
          <w:spacing w:val="-1"/>
        </w:rPr>
        <w:t xml:space="preserve"> </w:t>
      </w:r>
      <w:r w:rsidR="00A63CFC" w:rsidRPr="001215B9">
        <w:rPr>
          <w:rFonts w:ascii="Calibri" w:hAnsi="Calibri"/>
          <w:spacing w:val="-1"/>
        </w:rPr>
        <w:t>the</w:t>
      </w:r>
      <w:r w:rsidR="004B2132">
        <w:rPr>
          <w:rFonts w:ascii="Calibri" w:hAnsi="Calibri"/>
          <w:spacing w:val="-1"/>
        </w:rPr>
        <w:t xml:space="preserve"> </w:t>
      </w:r>
      <w:r w:rsidR="00A63CFC" w:rsidRPr="001215B9">
        <w:rPr>
          <w:rFonts w:ascii="Calibri" w:hAnsi="Calibri"/>
          <w:spacing w:val="-1"/>
        </w:rPr>
        <w:t>benefits</w:t>
      </w:r>
      <w:r w:rsidR="004B2132">
        <w:rPr>
          <w:rFonts w:ascii="Calibri" w:hAnsi="Calibri"/>
          <w:spacing w:val="-1"/>
        </w:rPr>
        <w:t xml:space="preserve"> </w:t>
      </w:r>
      <w:r w:rsidR="00A63CFC" w:rsidRPr="001215B9">
        <w:rPr>
          <w:rFonts w:ascii="Calibri" w:hAnsi="Calibri"/>
          <w:spacing w:val="-1"/>
        </w:rPr>
        <w:t>accruing</w:t>
      </w:r>
      <w:r w:rsidR="004B2132">
        <w:rPr>
          <w:rFonts w:ascii="Calibri" w:hAnsi="Calibri"/>
          <w:spacing w:val="-1"/>
        </w:rPr>
        <w:t xml:space="preserve"> </w:t>
      </w:r>
      <w:r w:rsidR="00A63CFC" w:rsidRPr="001215B9">
        <w:rPr>
          <w:rFonts w:ascii="Calibri" w:hAnsi="Calibri"/>
        </w:rPr>
        <w:t>to</w:t>
      </w:r>
      <w:r w:rsidR="004B2132">
        <w:rPr>
          <w:rFonts w:ascii="Calibri" w:hAnsi="Calibri"/>
        </w:rPr>
        <w:t xml:space="preserve"> </w:t>
      </w:r>
      <w:r w:rsidR="00A63CFC" w:rsidRPr="001215B9">
        <w:rPr>
          <w:rFonts w:ascii="Calibri" w:hAnsi="Calibri"/>
          <w:spacing w:val="-1"/>
        </w:rPr>
        <w:t>any</w:t>
      </w:r>
      <w:r w:rsidR="004B2132">
        <w:rPr>
          <w:rFonts w:ascii="Calibri" w:hAnsi="Calibri"/>
          <w:spacing w:val="-1"/>
        </w:rPr>
        <w:t xml:space="preserve"> </w:t>
      </w:r>
      <w:r w:rsidR="00A63CFC" w:rsidRPr="001215B9">
        <w:rPr>
          <w:rFonts w:ascii="Calibri" w:hAnsi="Calibri"/>
          <w:spacing w:val="-1"/>
        </w:rPr>
        <w:t>Member</w:t>
      </w:r>
      <w:r w:rsidR="004B2132">
        <w:rPr>
          <w:rFonts w:ascii="Calibri" w:hAnsi="Calibri"/>
          <w:spacing w:val="-1"/>
        </w:rPr>
        <w:t xml:space="preserve"> </w:t>
      </w:r>
      <w:r w:rsidR="00A63CFC" w:rsidRPr="001215B9">
        <w:rPr>
          <w:rFonts w:ascii="Calibri" w:hAnsi="Calibri"/>
          <w:spacing w:val="-1"/>
        </w:rPr>
        <w:t>under</w:t>
      </w:r>
      <w:r w:rsidR="004B2132">
        <w:rPr>
          <w:rFonts w:ascii="Calibri" w:hAnsi="Calibri"/>
          <w:spacing w:val="-1"/>
        </w:rPr>
        <w:t xml:space="preserve"> </w:t>
      </w:r>
      <w:r w:rsidR="00A63CFC" w:rsidRPr="001215B9">
        <w:rPr>
          <w:rFonts w:ascii="Calibri" w:hAnsi="Calibri"/>
        </w:rPr>
        <w:t>the</w:t>
      </w:r>
      <w:r w:rsidR="004B2132">
        <w:rPr>
          <w:rFonts w:ascii="Calibri" w:hAnsi="Calibri"/>
        </w:rPr>
        <w:t xml:space="preserve"> </w:t>
      </w:r>
      <w:r w:rsidR="00A63CFC" w:rsidRPr="001215B9">
        <w:rPr>
          <w:rFonts w:ascii="Calibri" w:hAnsi="Calibri"/>
          <w:spacing w:val="-1"/>
        </w:rPr>
        <w:t>terms</w:t>
      </w:r>
      <w:r w:rsidR="004B2132">
        <w:rPr>
          <w:rFonts w:ascii="Calibri" w:hAnsi="Calibri"/>
          <w:spacing w:val="-1"/>
        </w:rPr>
        <w:t xml:space="preserve"> </w:t>
      </w:r>
      <w:r w:rsidR="00A63CFC" w:rsidRPr="001215B9">
        <w:rPr>
          <w:rFonts w:ascii="Calibri" w:hAnsi="Calibri"/>
          <w:spacing w:val="-1"/>
        </w:rPr>
        <w:t>of</w:t>
      </w:r>
      <w:r w:rsidR="004B2132">
        <w:rPr>
          <w:rFonts w:ascii="Calibri" w:hAnsi="Calibri"/>
          <w:spacing w:val="-1"/>
        </w:rPr>
        <w:t xml:space="preserve"> </w:t>
      </w:r>
      <w:r w:rsidR="00A63CFC" w:rsidRPr="001215B9">
        <w:rPr>
          <w:rFonts w:ascii="Calibri" w:hAnsi="Calibri"/>
        </w:rPr>
        <w:t>a</w:t>
      </w:r>
      <w:r w:rsidR="004B2132">
        <w:rPr>
          <w:rFonts w:ascii="Calibri" w:hAnsi="Calibri"/>
        </w:rPr>
        <w:t xml:space="preserve"> </w:t>
      </w:r>
      <w:r w:rsidR="00A63CFC" w:rsidRPr="001215B9">
        <w:rPr>
          <w:rFonts w:ascii="Calibri" w:hAnsi="Calibri"/>
          <w:spacing w:val="-1"/>
        </w:rPr>
        <w:t>specific</w:t>
      </w:r>
      <w:r w:rsidR="004B2132">
        <w:rPr>
          <w:rFonts w:ascii="Calibri" w:hAnsi="Calibri"/>
          <w:spacing w:val="-1"/>
        </w:rPr>
        <w:t xml:space="preserve"> </w:t>
      </w:r>
      <w:r w:rsidR="00A63CFC" w:rsidRPr="001215B9">
        <w:rPr>
          <w:rFonts w:ascii="Calibri" w:hAnsi="Calibri"/>
          <w:spacing w:val="-1"/>
        </w:rPr>
        <w:t>commitment."</w:t>
      </w:r>
    </w:p>
    <w:p w14:paraId="363B577B" w14:textId="268371FA" w:rsidR="00A63CFC" w:rsidRPr="001215B9" w:rsidRDefault="00A63CFC" w:rsidP="001215B9">
      <w:pPr>
        <w:spacing w:after="120" w:line="360" w:lineRule="auto"/>
        <w:jc w:val="both"/>
        <w:rPr>
          <w:rFonts w:ascii="Calibri" w:hAnsi="Calibri"/>
        </w:rPr>
      </w:pPr>
      <w:r w:rsidRPr="001215B9">
        <w:rPr>
          <w:rFonts w:ascii="Calibri" w:hAnsi="Calibri"/>
          <w:spacing w:val="-1"/>
        </w:rPr>
        <w:t>Notwithstanding</w:t>
      </w:r>
      <w:r w:rsidR="004B2132">
        <w:rPr>
          <w:rFonts w:ascii="Calibri" w:hAnsi="Calibri"/>
          <w:spacing w:val="-1"/>
        </w:rPr>
        <w:t xml:space="preserve"> </w:t>
      </w:r>
      <w:r w:rsidRPr="001215B9">
        <w:rPr>
          <w:rFonts w:ascii="Calibri" w:hAnsi="Calibri"/>
          <w:spacing w:val="-1"/>
        </w:rPr>
        <w:t>these</w:t>
      </w:r>
      <w:r w:rsidR="004B2132">
        <w:rPr>
          <w:rFonts w:ascii="Calibri" w:hAnsi="Calibri"/>
          <w:spacing w:val="-1"/>
        </w:rPr>
        <w:t xml:space="preserve"> </w:t>
      </w:r>
      <w:r w:rsidRPr="001215B9">
        <w:rPr>
          <w:rFonts w:ascii="Calibri" w:hAnsi="Calibri"/>
          <w:spacing w:val="-1"/>
        </w:rPr>
        <w:t>limitations,</w:t>
      </w:r>
      <w:r w:rsidR="004B2132">
        <w:rPr>
          <w:rFonts w:ascii="Calibri" w:hAnsi="Calibri"/>
          <w:spacing w:val="-1"/>
        </w:rPr>
        <w:t xml:space="preserve"> </w:t>
      </w:r>
      <w:r w:rsidRPr="001215B9">
        <w:rPr>
          <w:rFonts w:ascii="Calibri" w:hAnsi="Calibri"/>
          <w:spacing w:val="-1"/>
        </w:rPr>
        <w:t>the</w:t>
      </w:r>
      <w:r w:rsidR="004B2132">
        <w:rPr>
          <w:rFonts w:ascii="Calibri" w:hAnsi="Calibri"/>
          <w:spacing w:val="-1"/>
        </w:rPr>
        <w:t xml:space="preserve"> </w:t>
      </w:r>
      <w:r w:rsidRPr="001215B9">
        <w:rPr>
          <w:rFonts w:ascii="Calibri" w:hAnsi="Calibri"/>
        </w:rPr>
        <w:t>GATS</w:t>
      </w:r>
      <w:r w:rsidR="004B2132">
        <w:rPr>
          <w:rFonts w:ascii="Calibri" w:hAnsi="Calibri"/>
        </w:rPr>
        <w:t xml:space="preserve"> </w:t>
      </w:r>
      <w:r w:rsidRPr="001215B9">
        <w:rPr>
          <w:rFonts w:ascii="Calibri" w:hAnsi="Calibri"/>
          <w:spacing w:val="-1"/>
        </w:rPr>
        <w:t>does</w:t>
      </w:r>
      <w:r w:rsidR="004B2132">
        <w:rPr>
          <w:rFonts w:ascii="Calibri" w:hAnsi="Calibri"/>
          <w:spacing w:val="-1"/>
        </w:rPr>
        <w:t xml:space="preserve"> </w:t>
      </w:r>
      <w:r w:rsidRPr="001215B9">
        <w:rPr>
          <w:rFonts w:ascii="Calibri" w:hAnsi="Calibri"/>
        </w:rPr>
        <w:t>have</w:t>
      </w:r>
      <w:r w:rsidR="004B2132">
        <w:rPr>
          <w:rFonts w:ascii="Calibri" w:hAnsi="Calibri"/>
        </w:rPr>
        <w:t xml:space="preserve"> </w:t>
      </w:r>
      <w:r w:rsidRPr="001215B9">
        <w:rPr>
          <w:rFonts w:ascii="Calibri" w:hAnsi="Calibri"/>
          <w:spacing w:val="-1"/>
        </w:rPr>
        <w:t>an</w:t>
      </w:r>
      <w:r w:rsidR="004B2132">
        <w:rPr>
          <w:rFonts w:ascii="Calibri" w:hAnsi="Calibri"/>
          <w:spacing w:val="-1"/>
        </w:rPr>
        <w:t xml:space="preserve"> </w:t>
      </w:r>
      <w:r w:rsidRPr="001215B9">
        <w:rPr>
          <w:rFonts w:ascii="Calibri" w:hAnsi="Calibri"/>
          <w:spacing w:val="-1"/>
        </w:rPr>
        <w:t>important</w:t>
      </w:r>
      <w:r w:rsidR="004B2132">
        <w:rPr>
          <w:rFonts w:ascii="Calibri" w:hAnsi="Calibri"/>
          <w:spacing w:val="-1"/>
        </w:rPr>
        <w:t xml:space="preserve"> </w:t>
      </w:r>
      <w:r w:rsidRPr="001215B9">
        <w:rPr>
          <w:rFonts w:ascii="Calibri" w:hAnsi="Calibri"/>
          <w:spacing w:val="-1"/>
        </w:rPr>
        <w:t>impact</w:t>
      </w:r>
      <w:r w:rsidR="004B2132">
        <w:rPr>
          <w:rFonts w:ascii="Calibri" w:hAnsi="Calibri"/>
          <w:spacing w:val="-1"/>
        </w:rPr>
        <w:t xml:space="preserve"> </w:t>
      </w:r>
      <w:r w:rsidRPr="001215B9">
        <w:rPr>
          <w:rFonts w:ascii="Calibri" w:hAnsi="Calibri"/>
        </w:rPr>
        <w:t>on</w:t>
      </w:r>
      <w:r w:rsidR="004B2132">
        <w:rPr>
          <w:rFonts w:ascii="Calibri" w:hAnsi="Calibri"/>
        </w:rPr>
        <w:t xml:space="preserve"> </w:t>
      </w:r>
      <w:r w:rsidRPr="001215B9">
        <w:rPr>
          <w:rFonts w:ascii="Calibri" w:hAnsi="Calibri"/>
          <w:spacing w:val="-1"/>
        </w:rPr>
        <w:t>national</w:t>
      </w:r>
      <w:r w:rsidR="004B2132">
        <w:rPr>
          <w:rFonts w:ascii="Calibri" w:hAnsi="Calibri"/>
          <w:spacing w:val="-1"/>
        </w:rPr>
        <w:t xml:space="preserve"> </w:t>
      </w:r>
      <w:r w:rsidRPr="001215B9">
        <w:rPr>
          <w:rFonts w:ascii="Calibri" w:hAnsi="Calibri"/>
          <w:spacing w:val="-1"/>
        </w:rPr>
        <w:t>immigration</w:t>
      </w:r>
      <w:r w:rsidR="004B2132">
        <w:rPr>
          <w:rFonts w:ascii="Calibri" w:hAnsi="Calibri"/>
          <w:spacing w:val="-1"/>
        </w:rPr>
        <w:t xml:space="preserve"> </w:t>
      </w:r>
      <w:r w:rsidRPr="001215B9">
        <w:rPr>
          <w:rFonts w:ascii="Calibri" w:hAnsi="Calibri"/>
          <w:spacing w:val="-1"/>
        </w:rPr>
        <w:t>systems</w:t>
      </w:r>
      <w:r w:rsidR="008A2FFD">
        <w:rPr>
          <w:rFonts w:ascii="Calibri" w:hAnsi="Calibri"/>
          <w:spacing w:val="-1"/>
        </w:rPr>
        <w:t>.</w:t>
      </w:r>
      <w:r w:rsidR="004B2132">
        <w:rPr>
          <w:rFonts w:ascii="Calibri" w:hAnsi="Calibri"/>
          <w:spacing w:val="-1"/>
        </w:rPr>
        <w:t xml:space="preserve"> </w:t>
      </w:r>
      <w:r w:rsidR="008A2FFD">
        <w:rPr>
          <w:rFonts w:ascii="Calibri" w:hAnsi="Calibri"/>
          <w:spacing w:val="-1"/>
        </w:rPr>
        <w:t>I</w:t>
      </w:r>
      <w:r w:rsidRPr="001215B9">
        <w:rPr>
          <w:rFonts w:ascii="Calibri" w:hAnsi="Calibri"/>
          <w:spacing w:val="-1"/>
        </w:rPr>
        <w:t>t</w:t>
      </w:r>
      <w:r w:rsidR="004B2132">
        <w:rPr>
          <w:rFonts w:ascii="Calibri" w:hAnsi="Calibri"/>
          <w:spacing w:val="-1"/>
        </w:rPr>
        <w:t xml:space="preserve"> </w:t>
      </w:r>
      <w:r w:rsidRPr="001215B9">
        <w:rPr>
          <w:rFonts w:ascii="Calibri" w:hAnsi="Calibri"/>
          <w:spacing w:val="-1"/>
        </w:rPr>
        <w:t>seeks</w:t>
      </w:r>
      <w:r w:rsidR="004B2132">
        <w:rPr>
          <w:rFonts w:ascii="Calibri" w:hAnsi="Calibri"/>
          <w:spacing w:val="-1"/>
        </w:rPr>
        <w:t xml:space="preserve"> </w:t>
      </w:r>
      <w:r w:rsidRPr="001215B9">
        <w:rPr>
          <w:rFonts w:ascii="Calibri" w:hAnsi="Calibri"/>
          <w:spacing w:val="-1"/>
        </w:rPr>
        <w:t>to</w:t>
      </w:r>
      <w:r w:rsidR="004B2132">
        <w:rPr>
          <w:rFonts w:ascii="Calibri" w:hAnsi="Calibri"/>
          <w:spacing w:val="-1"/>
        </w:rPr>
        <w:t xml:space="preserve"> </w:t>
      </w:r>
      <w:r w:rsidRPr="001215B9">
        <w:rPr>
          <w:rFonts w:ascii="Calibri" w:hAnsi="Calibri"/>
        </w:rPr>
        <w:t>abolish</w:t>
      </w:r>
      <w:r w:rsidR="004B2132">
        <w:rPr>
          <w:rFonts w:ascii="Calibri" w:hAnsi="Calibri"/>
        </w:rPr>
        <w:t xml:space="preserve"> </w:t>
      </w:r>
      <w:r w:rsidRPr="001215B9">
        <w:rPr>
          <w:rFonts w:ascii="Calibri" w:hAnsi="Calibri"/>
          <w:spacing w:val="-1"/>
        </w:rPr>
        <w:t>domestic</w:t>
      </w:r>
      <w:r w:rsidR="004B2132">
        <w:rPr>
          <w:rFonts w:ascii="Calibri" w:hAnsi="Calibri"/>
          <w:spacing w:val="-1"/>
        </w:rPr>
        <w:t xml:space="preserve"> </w:t>
      </w:r>
      <w:r w:rsidRPr="001215B9">
        <w:rPr>
          <w:rFonts w:ascii="Calibri" w:hAnsi="Calibri"/>
          <w:spacing w:val="-1"/>
        </w:rPr>
        <w:t>regulations</w:t>
      </w:r>
      <w:r w:rsidR="004B2132">
        <w:rPr>
          <w:rFonts w:ascii="Calibri" w:hAnsi="Calibri"/>
          <w:spacing w:val="-1"/>
        </w:rPr>
        <w:t xml:space="preserve"> </w:t>
      </w:r>
      <w:r w:rsidR="008A2FFD">
        <w:rPr>
          <w:rFonts w:ascii="Calibri" w:hAnsi="Calibri"/>
          <w:spacing w:val="-1"/>
        </w:rPr>
        <w:t>hindering</w:t>
      </w:r>
      <w:r w:rsidR="004B2132">
        <w:rPr>
          <w:rFonts w:ascii="Calibri" w:hAnsi="Calibri"/>
          <w:spacing w:val="-1"/>
        </w:rPr>
        <w:t xml:space="preserve"> </w:t>
      </w:r>
      <w:r w:rsidRPr="001215B9">
        <w:rPr>
          <w:rFonts w:ascii="Calibri" w:hAnsi="Calibri"/>
          <w:spacing w:val="-1"/>
        </w:rPr>
        <w:t>the</w:t>
      </w:r>
      <w:r w:rsidR="004B2132">
        <w:rPr>
          <w:rFonts w:ascii="Calibri" w:hAnsi="Calibri"/>
          <w:spacing w:val="-1"/>
        </w:rPr>
        <w:t xml:space="preserve"> </w:t>
      </w:r>
      <w:r w:rsidRPr="001215B9">
        <w:rPr>
          <w:rFonts w:ascii="Calibri" w:hAnsi="Calibri"/>
          <w:spacing w:val="-1"/>
        </w:rPr>
        <w:t>international</w:t>
      </w:r>
      <w:r w:rsidR="004B2132">
        <w:rPr>
          <w:rFonts w:ascii="Calibri" w:hAnsi="Calibri"/>
          <w:spacing w:val="-1"/>
        </w:rPr>
        <w:t xml:space="preserve"> </w:t>
      </w:r>
      <w:r w:rsidRPr="001215B9">
        <w:rPr>
          <w:rFonts w:ascii="Calibri" w:hAnsi="Calibri"/>
          <w:spacing w:val="-1"/>
        </w:rPr>
        <w:t>mobility</w:t>
      </w:r>
      <w:r w:rsidR="004B2132">
        <w:rPr>
          <w:rFonts w:ascii="Calibri" w:hAnsi="Calibri"/>
          <w:spacing w:val="-1"/>
        </w:rPr>
        <w:t xml:space="preserve"> </w:t>
      </w:r>
      <w:r w:rsidRPr="001215B9">
        <w:rPr>
          <w:rFonts w:ascii="Calibri" w:hAnsi="Calibri"/>
          <w:spacing w:val="1"/>
        </w:rPr>
        <w:t>of</w:t>
      </w:r>
      <w:r w:rsidR="004B2132">
        <w:rPr>
          <w:rFonts w:ascii="Calibri" w:hAnsi="Calibri"/>
          <w:spacing w:val="1"/>
        </w:rPr>
        <w:t xml:space="preserve"> </w:t>
      </w:r>
      <w:r w:rsidRPr="001215B9">
        <w:rPr>
          <w:rFonts w:ascii="Calibri" w:hAnsi="Calibri"/>
          <w:spacing w:val="-1"/>
        </w:rPr>
        <w:t>service</w:t>
      </w:r>
      <w:r w:rsidR="004B2132">
        <w:rPr>
          <w:rFonts w:ascii="Calibri" w:hAnsi="Calibri"/>
          <w:spacing w:val="-1"/>
        </w:rPr>
        <w:t xml:space="preserve"> </w:t>
      </w:r>
      <w:r w:rsidRPr="001215B9">
        <w:rPr>
          <w:rFonts w:ascii="Calibri" w:hAnsi="Calibri"/>
          <w:spacing w:val="-1"/>
        </w:rPr>
        <w:t>providers</w:t>
      </w:r>
      <w:r w:rsidR="001A0336">
        <w:rPr>
          <w:rFonts w:ascii="Calibri" w:hAnsi="Calibri"/>
          <w:spacing w:val="-1"/>
        </w:rPr>
        <w:t xml:space="preserve"> like</w:t>
      </w:r>
      <w:r w:rsidRPr="001215B9">
        <w:rPr>
          <w:rFonts w:ascii="Calibri" w:hAnsi="Calibri"/>
          <w:spacing w:val="-1"/>
        </w:rPr>
        <w:t>:</w:t>
      </w:r>
    </w:p>
    <w:p w14:paraId="1D97E686" w14:textId="68AE9E5A" w:rsidR="00A63CFC" w:rsidRPr="001215B9" w:rsidRDefault="004B2132" w:rsidP="001215B9">
      <w:pPr>
        <w:pStyle w:val="Listenabsatz"/>
        <w:numPr>
          <w:ilvl w:val="0"/>
          <w:numId w:val="23"/>
        </w:numPr>
        <w:spacing w:after="120" w:line="360" w:lineRule="auto"/>
        <w:jc w:val="both"/>
        <w:rPr>
          <w:rFonts w:ascii="Calibri" w:hAnsi="Calibri"/>
        </w:rPr>
      </w:pPr>
      <w:r w:rsidRPr="001215B9">
        <w:rPr>
          <w:rFonts w:ascii="Calibri" w:hAnsi="Calibri"/>
        </w:rPr>
        <w:t>V</w:t>
      </w:r>
      <w:r w:rsidR="00A63CFC" w:rsidRPr="001215B9">
        <w:rPr>
          <w:rFonts w:ascii="Calibri" w:hAnsi="Calibri"/>
        </w:rPr>
        <w:t>isa</w:t>
      </w:r>
      <w:r>
        <w:rPr>
          <w:rFonts w:ascii="Calibri" w:hAnsi="Calibri"/>
        </w:rPr>
        <w:t xml:space="preserve"> </w:t>
      </w:r>
      <w:r w:rsidR="00A63CFC" w:rsidRPr="006A66FF">
        <w:rPr>
          <w:rFonts w:ascii="Calibri" w:hAnsi="Calibri"/>
          <w:lang w:val="en-GB"/>
        </w:rPr>
        <w:t>requirement</w:t>
      </w:r>
      <w:r w:rsidRPr="006A66FF">
        <w:rPr>
          <w:rFonts w:ascii="Calibri" w:hAnsi="Calibri"/>
          <w:lang w:val="en-GB"/>
        </w:rPr>
        <w:t xml:space="preserve"> </w:t>
      </w:r>
      <w:r w:rsidR="00EA4C8B" w:rsidRPr="006A66FF">
        <w:rPr>
          <w:rFonts w:ascii="Calibri" w:hAnsi="Calibri"/>
          <w:lang w:val="en-GB"/>
        </w:rPr>
        <w:t>procedures</w:t>
      </w:r>
      <w:r w:rsidR="00A63CFC" w:rsidRPr="006A66FF">
        <w:rPr>
          <w:rFonts w:ascii="Calibri" w:hAnsi="Calibri"/>
          <w:lang w:val="en-GB"/>
        </w:rPr>
        <w:t>;</w:t>
      </w:r>
    </w:p>
    <w:p w14:paraId="6773582D" w14:textId="750C2954" w:rsidR="00A63CFC" w:rsidRPr="003A18D6" w:rsidRDefault="004B2132" w:rsidP="001215B9">
      <w:pPr>
        <w:pStyle w:val="Listenabsatz"/>
        <w:numPr>
          <w:ilvl w:val="0"/>
          <w:numId w:val="23"/>
        </w:numPr>
        <w:spacing w:after="120" w:line="360" w:lineRule="auto"/>
        <w:jc w:val="both"/>
        <w:rPr>
          <w:rFonts w:ascii="Calibri" w:hAnsi="Calibri"/>
          <w:lang w:val="en-GB"/>
        </w:rPr>
      </w:pPr>
      <w:r w:rsidRPr="003A18D6">
        <w:rPr>
          <w:rFonts w:ascii="Calibri" w:hAnsi="Calibri"/>
          <w:spacing w:val="-1"/>
          <w:lang w:val="en-GB"/>
        </w:rPr>
        <w:t>L</w:t>
      </w:r>
      <w:r w:rsidR="00A63CFC" w:rsidRPr="003A18D6">
        <w:rPr>
          <w:rFonts w:ascii="Calibri" w:hAnsi="Calibri"/>
          <w:spacing w:val="-1"/>
          <w:lang w:val="en-GB"/>
        </w:rPr>
        <w:t>abour</w:t>
      </w:r>
      <w:r>
        <w:rPr>
          <w:rFonts w:ascii="Calibri" w:hAnsi="Calibri"/>
          <w:spacing w:val="-1"/>
          <w:lang w:val="en-GB"/>
        </w:rPr>
        <w:t xml:space="preserve"> </w:t>
      </w:r>
      <w:r w:rsidR="00A63CFC" w:rsidRPr="003A18D6">
        <w:rPr>
          <w:rFonts w:ascii="Calibri" w:hAnsi="Calibri"/>
          <w:spacing w:val="-1"/>
          <w:lang w:val="en-GB"/>
        </w:rPr>
        <w:t>market</w:t>
      </w:r>
      <w:r>
        <w:rPr>
          <w:rFonts w:ascii="Calibri" w:hAnsi="Calibri"/>
          <w:spacing w:val="-1"/>
          <w:lang w:val="en-GB"/>
        </w:rPr>
        <w:t xml:space="preserve"> </w:t>
      </w:r>
      <w:r w:rsidR="00A63CFC" w:rsidRPr="003A18D6">
        <w:rPr>
          <w:rFonts w:ascii="Calibri" w:hAnsi="Calibri"/>
          <w:spacing w:val="-1"/>
          <w:lang w:val="en-GB"/>
        </w:rPr>
        <w:t>regulation</w:t>
      </w:r>
      <w:r w:rsidR="008A2FFD" w:rsidRPr="003A18D6">
        <w:rPr>
          <w:rFonts w:ascii="Calibri" w:hAnsi="Calibri"/>
          <w:spacing w:val="-1"/>
          <w:lang w:val="en-GB"/>
        </w:rPr>
        <w:t>s</w:t>
      </w:r>
      <w:r w:rsidR="00082DAF" w:rsidRPr="003A18D6">
        <w:rPr>
          <w:rFonts w:ascii="Calibri" w:hAnsi="Calibri"/>
          <w:spacing w:val="6"/>
          <w:lang w:val="en-GB"/>
        </w:rPr>
        <w:t>/</w:t>
      </w:r>
      <w:r w:rsidR="00A63CFC" w:rsidRPr="003A18D6">
        <w:rPr>
          <w:rFonts w:ascii="Calibri" w:hAnsi="Calibri"/>
          <w:lang w:val="en-GB"/>
        </w:rPr>
        <w:t>work</w:t>
      </w:r>
      <w:r w:rsidR="00082DAF" w:rsidRPr="003A18D6">
        <w:rPr>
          <w:rFonts w:ascii="Calibri" w:hAnsi="Calibri"/>
          <w:lang w:val="en-GB"/>
        </w:rPr>
        <w:t>ing</w:t>
      </w:r>
      <w:r>
        <w:rPr>
          <w:rFonts w:ascii="Calibri" w:hAnsi="Calibri"/>
          <w:lang w:val="en-GB"/>
        </w:rPr>
        <w:t xml:space="preserve"> </w:t>
      </w:r>
      <w:r w:rsidR="00A63CFC" w:rsidRPr="003A18D6">
        <w:rPr>
          <w:rFonts w:ascii="Calibri" w:hAnsi="Calibri"/>
          <w:spacing w:val="-1"/>
          <w:lang w:val="en-GB"/>
        </w:rPr>
        <w:t>permits;</w:t>
      </w:r>
    </w:p>
    <w:p w14:paraId="4F0AAAB6" w14:textId="0F80057D" w:rsidR="00A63CFC" w:rsidRPr="003A18D6" w:rsidRDefault="004B2132" w:rsidP="001215B9">
      <w:pPr>
        <w:pStyle w:val="Listenabsatz"/>
        <w:numPr>
          <w:ilvl w:val="0"/>
          <w:numId w:val="23"/>
        </w:numPr>
        <w:spacing w:after="120" w:line="360" w:lineRule="auto"/>
        <w:jc w:val="both"/>
        <w:rPr>
          <w:rFonts w:ascii="Calibri" w:hAnsi="Calibri"/>
          <w:lang w:val="en-GB"/>
        </w:rPr>
      </w:pPr>
      <w:r w:rsidRPr="003A18D6">
        <w:rPr>
          <w:rFonts w:ascii="Calibri" w:hAnsi="Calibri"/>
          <w:spacing w:val="-1"/>
          <w:lang w:val="en-GB"/>
        </w:rPr>
        <w:t>R</w:t>
      </w:r>
      <w:r w:rsidR="00A63CFC" w:rsidRPr="003A18D6">
        <w:rPr>
          <w:rFonts w:ascii="Calibri" w:hAnsi="Calibri"/>
          <w:spacing w:val="-1"/>
          <w:lang w:val="en-GB"/>
        </w:rPr>
        <w:t>egulations</w:t>
      </w:r>
      <w:r>
        <w:rPr>
          <w:rFonts w:ascii="Calibri" w:hAnsi="Calibri"/>
          <w:spacing w:val="-1"/>
          <w:lang w:val="en-GB"/>
        </w:rPr>
        <w:t xml:space="preserve"> </w:t>
      </w:r>
      <w:r w:rsidR="00A63CFC" w:rsidRPr="003A18D6">
        <w:rPr>
          <w:rFonts w:ascii="Calibri" w:hAnsi="Calibri"/>
          <w:spacing w:val="-1"/>
          <w:lang w:val="en-GB"/>
        </w:rPr>
        <w:t>defining</w:t>
      </w:r>
      <w:r>
        <w:rPr>
          <w:rFonts w:ascii="Calibri" w:hAnsi="Calibri"/>
          <w:spacing w:val="-1"/>
          <w:lang w:val="en-GB"/>
        </w:rPr>
        <w:t xml:space="preserve"> </w:t>
      </w:r>
      <w:r w:rsidR="00A63CFC" w:rsidRPr="003A18D6">
        <w:rPr>
          <w:rFonts w:ascii="Calibri" w:hAnsi="Calibri"/>
          <w:spacing w:val="-1"/>
          <w:lang w:val="en-GB"/>
        </w:rPr>
        <w:t>foreigners'</w:t>
      </w:r>
      <w:r>
        <w:rPr>
          <w:rFonts w:ascii="Calibri" w:hAnsi="Calibri"/>
          <w:spacing w:val="-1"/>
          <w:lang w:val="en-GB"/>
        </w:rPr>
        <w:t xml:space="preserve"> </w:t>
      </w:r>
      <w:r w:rsidR="00A63CFC" w:rsidRPr="003A18D6">
        <w:rPr>
          <w:rFonts w:ascii="Calibri" w:hAnsi="Calibri"/>
          <w:spacing w:val="-1"/>
          <w:lang w:val="en-GB"/>
        </w:rPr>
        <w:t>ability</w:t>
      </w:r>
      <w:r>
        <w:rPr>
          <w:rFonts w:ascii="Calibri" w:hAnsi="Calibri"/>
          <w:spacing w:val="-1"/>
          <w:lang w:val="en-GB"/>
        </w:rPr>
        <w:t xml:space="preserve"> </w:t>
      </w:r>
      <w:r w:rsidR="00A63CFC" w:rsidRPr="003A18D6">
        <w:rPr>
          <w:rFonts w:ascii="Calibri" w:hAnsi="Calibri"/>
          <w:spacing w:val="1"/>
          <w:lang w:val="en-GB"/>
        </w:rPr>
        <w:t>to</w:t>
      </w:r>
      <w:r>
        <w:rPr>
          <w:rFonts w:ascii="Calibri" w:hAnsi="Calibri"/>
          <w:spacing w:val="1"/>
          <w:lang w:val="en-GB"/>
        </w:rPr>
        <w:t xml:space="preserve"> </w:t>
      </w:r>
      <w:r w:rsidR="00A63CFC" w:rsidRPr="003A18D6">
        <w:rPr>
          <w:rFonts w:ascii="Calibri" w:hAnsi="Calibri"/>
          <w:spacing w:val="-1"/>
          <w:lang w:val="en-GB"/>
        </w:rPr>
        <w:t>work</w:t>
      </w:r>
      <w:r>
        <w:rPr>
          <w:rFonts w:ascii="Calibri" w:hAnsi="Calibri"/>
          <w:spacing w:val="-1"/>
          <w:lang w:val="en-GB"/>
        </w:rPr>
        <w:t xml:space="preserve"> </w:t>
      </w:r>
      <w:r w:rsidR="00A63CFC" w:rsidRPr="003A18D6">
        <w:rPr>
          <w:rFonts w:ascii="Calibri" w:hAnsi="Calibri"/>
          <w:spacing w:val="1"/>
          <w:lang w:val="en-GB"/>
        </w:rPr>
        <w:t>in</w:t>
      </w:r>
      <w:r>
        <w:rPr>
          <w:rFonts w:ascii="Calibri" w:hAnsi="Calibri"/>
          <w:spacing w:val="1"/>
          <w:lang w:val="en-GB"/>
        </w:rPr>
        <w:t xml:space="preserve"> </w:t>
      </w:r>
      <w:r w:rsidR="00A63CFC" w:rsidRPr="003A18D6">
        <w:rPr>
          <w:rFonts w:ascii="Calibri" w:hAnsi="Calibri"/>
          <w:spacing w:val="-1"/>
          <w:lang w:val="en-GB"/>
        </w:rPr>
        <w:t>individual</w:t>
      </w:r>
      <w:r>
        <w:rPr>
          <w:rFonts w:ascii="Calibri" w:hAnsi="Calibri"/>
          <w:spacing w:val="-1"/>
          <w:lang w:val="en-GB"/>
        </w:rPr>
        <w:t xml:space="preserve"> </w:t>
      </w:r>
      <w:r w:rsidR="00A63CFC" w:rsidRPr="003A18D6">
        <w:rPr>
          <w:rFonts w:ascii="Calibri" w:hAnsi="Calibri"/>
          <w:spacing w:val="-1"/>
          <w:lang w:val="en-GB"/>
        </w:rPr>
        <w:t>areas.</w:t>
      </w:r>
    </w:p>
    <w:p w14:paraId="6743E553" w14:textId="446D5E35" w:rsidR="00D02FD9" w:rsidRPr="004B2132" w:rsidRDefault="00EA4C8B" w:rsidP="001215B9">
      <w:pPr>
        <w:spacing w:after="120" w:line="360" w:lineRule="auto"/>
        <w:jc w:val="both"/>
        <w:rPr>
          <w:rFonts w:ascii="Calibri" w:hAnsi="Calibri"/>
          <w:spacing w:val="-1"/>
        </w:rPr>
      </w:pPr>
      <w:r>
        <w:rPr>
          <w:rFonts w:ascii="Calibri" w:hAnsi="Calibri"/>
          <w:spacing w:val="-1"/>
        </w:rPr>
        <w:t>N</w:t>
      </w:r>
      <w:r w:rsidR="00A63CFC" w:rsidRPr="001215B9">
        <w:rPr>
          <w:rFonts w:ascii="Calibri" w:hAnsi="Calibri"/>
          <w:spacing w:val="-1"/>
        </w:rPr>
        <w:t>umerical</w:t>
      </w:r>
      <w:r w:rsidR="004B2132">
        <w:rPr>
          <w:rFonts w:ascii="Calibri" w:hAnsi="Calibri"/>
          <w:spacing w:val="-1"/>
        </w:rPr>
        <w:t xml:space="preserve"> </w:t>
      </w:r>
      <w:r w:rsidR="00A63CFC" w:rsidRPr="001215B9">
        <w:rPr>
          <w:rFonts w:ascii="Calibri" w:hAnsi="Calibri"/>
          <w:spacing w:val="-1"/>
        </w:rPr>
        <w:t>quota</w:t>
      </w:r>
      <w:r w:rsidR="00735861">
        <w:rPr>
          <w:rFonts w:ascii="Calibri" w:hAnsi="Calibri"/>
          <w:spacing w:val="-1"/>
        </w:rPr>
        <w:t>s</w:t>
      </w:r>
      <w:r w:rsidR="00A63CFC" w:rsidRPr="001215B9">
        <w:rPr>
          <w:rFonts w:ascii="Calibri" w:hAnsi="Calibri"/>
          <w:spacing w:val="-1"/>
        </w:rPr>
        <w:t>;</w:t>
      </w:r>
      <w:r w:rsidR="004B2132">
        <w:rPr>
          <w:rFonts w:ascii="Calibri" w:hAnsi="Calibri"/>
          <w:spacing w:val="-1"/>
        </w:rPr>
        <w:t xml:space="preserve"> </w:t>
      </w:r>
      <w:r w:rsidR="00A63CFC" w:rsidRPr="001215B9">
        <w:rPr>
          <w:rFonts w:ascii="Calibri" w:hAnsi="Calibri"/>
          <w:spacing w:val="-1"/>
        </w:rPr>
        <w:t>licensing</w:t>
      </w:r>
      <w:r w:rsidR="004B2132">
        <w:rPr>
          <w:rFonts w:ascii="Calibri" w:hAnsi="Calibri"/>
          <w:spacing w:val="-1"/>
        </w:rPr>
        <w:t xml:space="preserve"> </w:t>
      </w:r>
      <w:r w:rsidR="00A63CFC" w:rsidRPr="001215B9">
        <w:rPr>
          <w:rFonts w:ascii="Calibri" w:hAnsi="Calibri"/>
          <w:spacing w:val="-1"/>
        </w:rPr>
        <w:t>and</w:t>
      </w:r>
      <w:r w:rsidR="004B2132">
        <w:rPr>
          <w:rFonts w:ascii="Calibri" w:hAnsi="Calibri"/>
          <w:spacing w:val="-1"/>
        </w:rPr>
        <w:t xml:space="preserve"> </w:t>
      </w:r>
      <w:r w:rsidR="00A63CFC" w:rsidRPr="001215B9">
        <w:rPr>
          <w:rFonts w:ascii="Calibri" w:hAnsi="Calibri"/>
          <w:spacing w:val="-1"/>
        </w:rPr>
        <w:t>qualification</w:t>
      </w:r>
      <w:r w:rsidR="004B2132">
        <w:rPr>
          <w:rFonts w:ascii="Calibri" w:hAnsi="Calibri"/>
          <w:spacing w:val="-1"/>
        </w:rPr>
        <w:t xml:space="preserve"> </w:t>
      </w:r>
      <w:r w:rsidR="00A63CFC" w:rsidRPr="001215B9">
        <w:rPr>
          <w:rFonts w:ascii="Calibri" w:hAnsi="Calibri"/>
          <w:spacing w:val="-1"/>
        </w:rPr>
        <w:t>requirements;</w:t>
      </w:r>
      <w:r w:rsidR="004B2132">
        <w:rPr>
          <w:rFonts w:ascii="Calibri" w:hAnsi="Calibri"/>
          <w:spacing w:val="-1"/>
        </w:rPr>
        <w:t xml:space="preserve"> </w:t>
      </w:r>
      <w:r w:rsidR="00A63CFC" w:rsidRPr="001215B9">
        <w:rPr>
          <w:rFonts w:ascii="Calibri" w:hAnsi="Calibri"/>
          <w:spacing w:val="-1"/>
        </w:rPr>
        <w:t>residency</w:t>
      </w:r>
      <w:r w:rsidR="004B2132">
        <w:rPr>
          <w:rFonts w:ascii="Calibri" w:hAnsi="Calibri"/>
          <w:spacing w:val="-1"/>
        </w:rPr>
        <w:t xml:space="preserve"> </w:t>
      </w:r>
      <w:r w:rsidR="00A63CFC" w:rsidRPr="001215B9">
        <w:rPr>
          <w:rFonts w:ascii="Calibri" w:hAnsi="Calibri"/>
          <w:spacing w:val="-1"/>
        </w:rPr>
        <w:t>requirements</w:t>
      </w:r>
      <w:r w:rsidR="004B2132">
        <w:rPr>
          <w:rFonts w:ascii="Calibri" w:hAnsi="Calibri"/>
          <w:spacing w:val="-1"/>
        </w:rPr>
        <w:t xml:space="preserve"> </w:t>
      </w:r>
      <w:r w:rsidR="00A63CFC" w:rsidRPr="001215B9">
        <w:rPr>
          <w:rFonts w:ascii="Calibri" w:hAnsi="Calibri"/>
          <w:spacing w:val="-1"/>
        </w:rPr>
        <w:t>and</w:t>
      </w:r>
      <w:r w:rsidR="004B2132">
        <w:rPr>
          <w:rFonts w:ascii="Calibri" w:hAnsi="Calibri"/>
          <w:spacing w:val="-1"/>
        </w:rPr>
        <w:t xml:space="preserve"> </w:t>
      </w:r>
      <w:r w:rsidR="00A63CFC" w:rsidRPr="001215B9">
        <w:rPr>
          <w:rFonts w:ascii="Calibri" w:hAnsi="Calibri"/>
          <w:spacing w:val="-1"/>
        </w:rPr>
        <w:t>non-eligibility</w:t>
      </w:r>
      <w:r w:rsidR="004B2132">
        <w:rPr>
          <w:rFonts w:ascii="Calibri" w:hAnsi="Calibri"/>
          <w:spacing w:val="-1"/>
        </w:rPr>
        <w:t xml:space="preserve"> </w:t>
      </w:r>
      <w:r w:rsidR="00A63CFC" w:rsidRPr="001215B9">
        <w:rPr>
          <w:rFonts w:ascii="Calibri" w:hAnsi="Calibri"/>
        </w:rPr>
        <w:t>under</w:t>
      </w:r>
      <w:r w:rsidR="004B2132">
        <w:rPr>
          <w:rFonts w:ascii="Calibri" w:hAnsi="Calibri"/>
        </w:rPr>
        <w:t xml:space="preserve"> </w:t>
      </w:r>
      <w:r w:rsidR="00A63CFC" w:rsidRPr="001215B9">
        <w:rPr>
          <w:rFonts w:ascii="Calibri" w:hAnsi="Calibri"/>
          <w:spacing w:val="-1"/>
        </w:rPr>
        <w:t>subsidy</w:t>
      </w:r>
      <w:r w:rsidR="004B2132">
        <w:rPr>
          <w:rFonts w:ascii="Calibri" w:hAnsi="Calibri"/>
          <w:spacing w:val="-1"/>
        </w:rPr>
        <w:t xml:space="preserve"> </w:t>
      </w:r>
      <w:r w:rsidR="00A63CFC" w:rsidRPr="001215B9">
        <w:rPr>
          <w:rFonts w:ascii="Calibri" w:hAnsi="Calibri"/>
          <w:spacing w:val="-1"/>
        </w:rPr>
        <w:t>schemes;</w:t>
      </w:r>
      <w:r w:rsidR="004B2132">
        <w:rPr>
          <w:rFonts w:ascii="Calibri" w:hAnsi="Calibri"/>
          <w:spacing w:val="-1"/>
        </w:rPr>
        <w:t xml:space="preserve"> </w:t>
      </w:r>
      <w:r w:rsidR="00A63CFC" w:rsidRPr="001215B9">
        <w:rPr>
          <w:rFonts w:ascii="Calibri" w:hAnsi="Calibri"/>
          <w:spacing w:val="-1"/>
        </w:rPr>
        <w:t>discrimination</w:t>
      </w:r>
      <w:r w:rsidR="004B2132">
        <w:rPr>
          <w:rFonts w:ascii="Calibri" w:hAnsi="Calibri"/>
          <w:spacing w:val="-1"/>
        </w:rPr>
        <w:t xml:space="preserve"> </w:t>
      </w:r>
      <w:r w:rsidR="00735861">
        <w:rPr>
          <w:rFonts w:ascii="Calibri" w:hAnsi="Calibri"/>
        </w:rPr>
        <w:t>on</w:t>
      </w:r>
      <w:r w:rsidR="004B2132">
        <w:rPr>
          <w:rFonts w:ascii="Calibri" w:hAnsi="Calibri"/>
        </w:rPr>
        <w:t xml:space="preserve"> </w:t>
      </w:r>
      <w:r w:rsidR="00A63CFC" w:rsidRPr="001215B9">
        <w:rPr>
          <w:rFonts w:ascii="Calibri" w:hAnsi="Calibri"/>
          <w:spacing w:val="-1"/>
        </w:rPr>
        <w:t>mandatory</w:t>
      </w:r>
      <w:r w:rsidR="004B2132">
        <w:rPr>
          <w:rFonts w:ascii="Calibri" w:hAnsi="Calibri"/>
          <w:spacing w:val="-1"/>
        </w:rPr>
        <w:t xml:space="preserve"> </w:t>
      </w:r>
      <w:r w:rsidR="00A63CFC" w:rsidRPr="001215B9">
        <w:rPr>
          <w:rFonts w:ascii="Calibri" w:hAnsi="Calibri"/>
          <w:spacing w:val="-1"/>
        </w:rPr>
        <w:t>social</w:t>
      </w:r>
      <w:r w:rsidR="004B2132">
        <w:rPr>
          <w:rFonts w:ascii="Calibri" w:hAnsi="Calibri"/>
          <w:spacing w:val="-1"/>
        </w:rPr>
        <w:t xml:space="preserve"> </w:t>
      </w:r>
      <w:r w:rsidR="00A63CFC" w:rsidRPr="001215B9">
        <w:rPr>
          <w:rFonts w:ascii="Calibri" w:hAnsi="Calibri"/>
          <w:spacing w:val="-1"/>
        </w:rPr>
        <w:t>insurance</w:t>
      </w:r>
      <w:r w:rsidR="004B2132">
        <w:rPr>
          <w:rFonts w:ascii="Calibri" w:hAnsi="Calibri"/>
          <w:spacing w:val="-1"/>
        </w:rPr>
        <w:t xml:space="preserve"> </w:t>
      </w:r>
      <w:r w:rsidR="00A63CFC" w:rsidRPr="001215B9">
        <w:rPr>
          <w:rFonts w:ascii="Calibri" w:hAnsi="Calibri"/>
        </w:rPr>
        <w:t>systems</w:t>
      </w:r>
      <w:r w:rsidR="004B2132">
        <w:rPr>
          <w:rFonts w:ascii="Calibri" w:hAnsi="Calibri"/>
        </w:rPr>
        <w:t xml:space="preserve"> </w:t>
      </w:r>
      <w:r w:rsidR="00A63CFC" w:rsidRPr="001215B9">
        <w:rPr>
          <w:rFonts w:ascii="Calibri" w:hAnsi="Calibri"/>
          <w:spacing w:val="-1"/>
        </w:rPr>
        <w:t>(e.g.</w:t>
      </w:r>
      <w:r w:rsidR="004B2132">
        <w:rPr>
          <w:rFonts w:ascii="Calibri" w:hAnsi="Calibri"/>
          <w:spacing w:val="-1"/>
        </w:rPr>
        <w:t xml:space="preserve"> </w:t>
      </w:r>
      <w:r w:rsidR="00A63CFC" w:rsidRPr="001215B9">
        <w:rPr>
          <w:rFonts w:ascii="Calibri" w:hAnsi="Calibri"/>
          <w:spacing w:val="-1"/>
        </w:rPr>
        <w:t>denial</w:t>
      </w:r>
      <w:r w:rsidR="004B2132">
        <w:rPr>
          <w:rFonts w:ascii="Calibri" w:hAnsi="Calibri"/>
          <w:spacing w:val="-1"/>
        </w:rPr>
        <w:t xml:space="preserve"> </w:t>
      </w:r>
      <w:r w:rsidR="00A63CFC" w:rsidRPr="001215B9">
        <w:rPr>
          <w:rFonts w:ascii="Calibri" w:hAnsi="Calibri"/>
          <w:spacing w:val="-1"/>
        </w:rPr>
        <w:t>of</w:t>
      </w:r>
      <w:r w:rsidR="004B2132">
        <w:rPr>
          <w:rFonts w:ascii="Calibri" w:hAnsi="Calibri"/>
          <w:spacing w:val="-1"/>
        </w:rPr>
        <w:t xml:space="preserve"> </w:t>
      </w:r>
      <w:r w:rsidR="00A63CFC" w:rsidRPr="001215B9">
        <w:rPr>
          <w:rFonts w:ascii="Calibri" w:hAnsi="Calibri"/>
          <w:spacing w:val="-1"/>
        </w:rPr>
        <w:t>pension</w:t>
      </w:r>
      <w:r w:rsidR="004B2132">
        <w:rPr>
          <w:rFonts w:ascii="Calibri" w:hAnsi="Calibri"/>
          <w:spacing w:val="-1"/>
        </w:rPr>
        <w:t xml:space="preserve"> </w:t>
      </w:r>
      <w:r w:rsidR="00A63CFC" w:rsidRPr="001215B9">
        <w:rPr>
          <w:rFonts w:ascii="Calibri" w:hAnsi="Calibri"/>
          <w:spacing w:val="-1"/>
        </w:rPr>
        <w:t>entitlements);</w:t>
      </w:r>
      <w:r w:rsidR="004B2132">
        <w:rPr>
          <w:rFonts w:ascii="Calibri" w:hAnsi="Calibri"/>
          <w:spacing w:val="-1"/>
        </w:rPr>
        <w:t xml:space="preserve"> </w:t>
      </w:r>
      <w:r w:rsidR="00A63CFC" w:rsidRPr="001215B9">
        <w:rPr>
          <w:rFonts w:ascii="Calibri" w:hAnsi="Calibri"/>
          <w:spacing w:val="-1"/>
        </w:rPr>
        <w:t>restrictions</w:t>
      </w:r>
      <w:r w:rsidR="004B2132">
        <w:rPr>
          <w:rFonts w:ascii="Calibri" w:hAnsi="Calibri"/>
          <w:spacing w:val="-1"/>
        </w:rPr>
        <w:t xml:space="preserve"> </w:t>
      </w:r>
      <w:r w:rsidR="00A63CFC" w:rsidRPr="001215B9">
        <w:rPr>
          <w:rFonts w:ascii="Calibri" w:hAnsi="Calibri"/>
          <w:spacing w:val="-1"/>
        </w:rPr>
        <w:t>affecting</w:t>
      </w:r>
      <w:r w:rsidR="004B2132">
        <w:rPr>
          <w:rFonts w:ascii="Calibri" w:hAnsi="Calibri"/>
          <w:spacing w:val="-1"/>
        </w:rPr>
        <w:t xml:space="preserve"> </w:t>
      </w:r>
      <w:r w:rsidR="00A63CFC" w:rsidRPr="001215B9">
        <w:rPr>
          <w:rFonts w:ascii="Calibri" w:hAnsi="Calibri"/>
          <w:spacing w:val="-1"/>
        </w:rPr>
        <w:t>the</w:t>
      </w:r>
      <w:r w:rsidR="004B2132">
        <w:rPr>
          <w:rFonts w:ascii="Calibri" w:hAnsi="Calibri"/>
          <w:spacing w:val="-1"/>
        </w:rPr>
        <w:t xml:space="preserve"> </w:t>
      </w:r>
      <w:r w:rsidR="00A63CFC" w:rsidRPr="001215B9">
        <w:rPr>
          <w:rFonts w:ascii="Calibri" w:hAnsi="Calibri"/>
          <w:spacing w:val="-1"/>
        </w:rPr>
        <w:t>mobility</w:t>
      </w:r>
      <w:r w:rsidR="004B2132">
        <w:rPr>
          <w:rFonts w:ascii="Calibri" w:hAnsi="Calibri"/>
          <w:spacing w:val="-1"/>
        </w:rPr>
        <w:t xml:space="preserve"> </w:t>
      </w:r>
      <w:r w:rsidR="00A63CFC" w:rsidRPr="001215B9">
        <w:rPr>
          <w:rFonts w:ascii="Calibri" w:hAnsi="Calibri"/>
          <w:spacing w:val="-1"/>
        </w:rPr>
        <w:t>of</w:t>
      </w:r>
      <w:r w:rsidR="004B2132">
        <w:rPr>
          <w:rFonts w:ascii="Calibri" w:hAnsi="Calibri"/>
          <w:spacing w:val="-1"/>
        </w:rPr>
        <w:t xml:space="preserve"> </w:t>
      </w:r>
      <w:r w:rsidR="00A63CFC" w:rsidRPr="001215B9">
        <w:rPr>
          <w:rFonts w:ascii="Calibri" w:hAnsi="Calibri"/>
          <w:spacing w:val="-1"/>
        </w:rPr>
        <w:t>family</w:t>
      </w:r>
      <w:r w:rsidR="004B2132">
        <w:rPr>
          <w:rFonts w:ascii="Calibri" w:hAnsi="Calibri"/>
          <w:spacing w:val="-1"/>
        </w:rPr>
        <w:t xml:space="preserve"> </w:t>
      </w:r>
      <w:r w:rsidR="00A63CFC" w:rsidRPr="001215B9">
        <w:rPr>
          <w:rFonts w:ascii="Calibri" w:hAnsi="Calibri"/>
          <w:spacing w:val="-1"/>
        </w:rPr>
        <w:t>members</w:t>
      </w:r>
      <w:r>
        <w:rPr>
          <w:rFonts w:ascii="Calibri" w:hAnsi="Calibri"/>
          <w:spacing w:val="-1"/>
        </w:rPr>
        <w:t xml:space="preserve"> do however </w:t>
      </w:r>
      <w:r w:rsidRPr="001215B9">
        <w:rPr>
          <w:rFonts w:ascii="Calibri" w:hAnsi="Calibri"/>
          <w:spacing w:val="-1"/>
        </w:rPr>
        <w:t>fall</w:t>
      </w:r>
      <w:r w:rsidR="004B2132">
        <w:rPr>
          <w:rFonts w:ascii="Calibri" w:hAnsi="Calibri"/>
          <w:spacing w:val="-1"/>
        </w:rPr>
        <w:t xml:space="preserve"> </w:t>
      </w:r>
      <w:r w:rsidRPr="001215B9">
        <w:rPr>
          <w:rFonts w:ascii="Calibri" w:hAnsi="Calibri"/>
          <w:spacing w:val="-1"/>
        </w:rPr>
        <w:t>under</w:t>
      </w:r>
      <w:r w:rsidR="004B2132">
        <w:rPr>
          <w:rFonts w:ascii="Calibri" w:hAnsi="Calibri"/>
          <w:spacing w:val="-1"/>
        </w:rPr>
        <w:t xml:space="preserve"> </w:t>
      </w:r>
      <w:r w:rsidRPr="001215B9">
        <w:rPr>
          <w:rFonts w:ascii="Calibri" w:hAnsi="Calibri"/>
        </w:rPr>
        <w:t>the</w:t>
      </w:r>
      <w:r w:rsidR="004B2132">
        <w:rPr>
          <w:rFonts w:ascii="Calibri" w:hAnsi="Calibri"/>
        </w:rPr>
        <w:t xml:space="preserve"> </w:t>
      </w:r>
      <w:r w:rsidRPr="001215B9">
        <w:rPr>
          <w:rFonts w:ascii="Calibri" w:hAnsi="Calibri"/>
          <w:spacing w:val="-1"/>
        </w:rPr>
        <w:t>scope</w:t>
      </w:r>
      <w:r w:rsidR="004B2132">
        <w:rPr>
          <w:rFonts w:ascii="Calibri" w:hAnsi="Calibri"/>
          <w:spacing w:val="-1"/>
        </w:rPr>
        <w:t xml:space="preserve"> </w:t>
      </w:r>
      <w:r w:rsidRPr="001215B9">
        <w:rPr>
          <w:rFonts w:ascii="Calibri" w:hAnsi="Calibri"/>
        </w:rPr>
        <w:t>of</w:t>
      </w:r>
      <w:r w:rsidR="004B2132">
        <w:rPr>
          <w:rFonts w:ascii="Calibri" w:hAnsi="Calibri"/>
        </w:rPr>
        <w:t xml:space="preserve"> </w:t>
      </w:r>
      <w:r w:rsidRPr="001215B9">
        <w:rPr>
          <w:rFonts w:ascii="Calibri" w:hAnsi="Calibri"/>
        </w:rPr>
        <w:t>the</w:t>
      </w:r>
      <w:r w:rsidR="004B2132">
        <w:rPr>
          <w:rFonts w:ascii="Calibri" w:hAnsi="Calibri"/>
        </w:rPr>
        <w:t xml:space="preserve"> </w:t>
      </w:r>
      <w:r w:rsidRPr="001215B9">
        <w:rPr>
          <w:rFonts w:ascii="Calibri" w:hAnsi="Calibri"/>
        </w:rPr>
        <w:t>Treaty</w:t>
      </w:r>
      <w:r w:rsidR="004B2132">
        <w:rPr>
          <w:rFonts w:ascii="Calibri" w:hAnsi="Calibri"/>
        </w:rPr>
        <w:t xml:space="preserve"> </w:t>
      </w:r>
      <w:r w:rsidRPr="001215B9">
        <w:rPr>
          <w:rFonts w:ascii="Calibri" w:hAnsi="Calibri"/>
          <w:spacing w:val="-1"/>
        </w:rPr>
        <w:t>and</w:t>
      </w:r>
      <w:r w:rsidR="004B2132">
        <w:rPr>
          <w:rFonts w:ascii="Calibri" w:hAnsi="Calibri"/>
          <w:spacing w:val="-1"/>
        </w:rPr>
        <w:t xml:space="preserve"> </w:t>
      </w:r>
      <w:r w:rsidRPr="001215B9">
        <w:rPr>
          <w:rFonts w:ascii="Calibri" w:hAnsi="Calibri"/>
        </w:rPr>
        <w:t>may</w:t>
      </w:r>
      <w:r w:rsidR="004B2132">
        <w:rPr>
          <w:rFonts w:ascii="Calibri" w:hAnsi="Calibri"/>
        </w:rPr>
        <w:t xml:space="preserve"> </w:t>
      </w:r>
      <w:r w:rsidRPr="001215B9">
        <w:rPr>
          <w:rFonts w:ascii="Calibri" w:hAnsi="Calibri"/>
        </w:rPr>
        <w:t>be</w:t>
      </w:r>
      <w:r w:rsidR="004B2132">
        <w:rPr>
          <w:rFonts w:ascii="Calibri" w:hAnsi="Calibri"/>
        </w:rPr>
        <w:t xml:space="preserve"> </w:t>
      </w:r>
      <w:r w:rsidRPr="001215B9">
        <w:rPr>
          <w:rFonts w:ascii="Calibri" w:hAnsi="Calibri"/>
          <w:spacing w:val="-1"/>
        </w:rPr>
        <w:t>captured</w:t>
      </w:r>
      <w:r w:rsidR="004B2132">
        <w:rPr>
          <w:rFonts w:ascii="Calibri" w:hAnsi="Calibri"/>
          <w:spacing w:val="-1"/>
        </w:rPr>
        <w:t xml:space="preserve"> </w:t>
      </w:r>
      <w:r w:rsidRPr="001215B9">
        <w:rPr>
          <w:rFonts w:ascii="Calibri" w:hAnsi="Calibri"/>
          <w:spacing w:val="-1"/>
        </w:rPr>
        <w:t>either</w:t>
      </w:r>
      <w:r w:rsidR="004B2132">
        <w:rPr>
          <w:rFonts w:ascii="Calibri" w:hAnsi="Calibri"/>
          <w:spacing w:val="-1"/>
        </w:rPr>
        <w:t xml:space="preserve"> </w:t>
      </w:r>
      <w:r w:rsidRPr="001215B9">
        <w:rPr>
          <w:rFonts w:ascii="Calibri" w:hAnsi="Calibri"/>
          <w:spacing w:val="-1"/>
        </w:rPr>
        <w:t>under</w:t>
      </w:r>
      <w:r w:rsidR="004B2132">
        <w:rPr>
          <w:rFonts w:ascii="Calibri" w:hAnsi="Calibri"/>
          <w:spacing w:val="-1"/>
        </w:rPr>
        <w:t xml:space="preserve"> </w:t>
      </w:r>
      <w:r w:rsidRPr="001215B9">
        <w:rPr>
          <w:rFonts w:ascii="Calibri" w:hAnsi="Calibri"/>
          <w:spacing w:val="-1"/>
        </w:rPr>
        <w:t>the</w:t>
      </w:r>
      <w:r w:rsidR="004B2132">
        <w:rPr>
          <w:rFonts w:ascii="Calibri" w:hAnsi="Calibri"/>
          <w:spacing w:val="-1"/>
        </w:rPr>
        <w:t xml:space="preserve"> </w:t>
      </w:r>
      <w:r w:rsidRPr="001215B9">
        <w:rPr>
          <w:rFonts w:ascii="Calibri" w:hAnsi="Calibri"/>
          <w:spacing w:val="-2"/>
        </w:rPr>
        <w:t>general</w:t>
      </w:r>
      <w:r w:rsidR="004B2132">
        <w:rPr>
          <w:rFonts w:ascii="Calibri" w:hAnsi="Calibri"/>
          <w:spacing w:val="-2"/>
        </w:rPr>
        <w:t xml:space="preserve"> </w:t>
      </w:r>
      <w:r w:rsidRPr="001215B9">
        <w:rPr>
          <w:rFonts w:ascii="Calibri" w:hAnsi="Calibri"/>
          <w:spacing w:val="-1"/>
        </w:rPr>
        <w:t>horizontal</w:t>
      </w:r>
      <w:r w:rsidR="004B2132">
        <w:rPr>
          <w:rFonts w:ascii="Calibri" w:hAnsi="Calibri"/>
          <w:spacing w:val="-1"/>
        </w:rPr>
        <w:t xml:space="preserve"> </w:t>
      </w:r>
      <w:r w:rsidRPr="001215B9">
        <w:rPr>
          <w:rFonts w:ascii="Calibri" w:hAnsi="Calibri"/>
        </w:rPr>
        <w:t xml:space="preserve">or </w:t>
      </w:r>
      <w:r w:rsidRPr="001215B9">
        <w:rPr>
          <w:rFonts w:ascii="Calibri" w:hAnsi="Calibri"/>
          <w:spacing w:val="1"/>
        </w:rPr>
        <w:t>in</w:t>
      </w:r>
      <w:r w:rsidR="004B2132">
        <w:rPr>
          <w:rFonts w:ascii="Calibri" w:hAnsi="Calibri"/>
          <w:spacing w:val="1"/>
        </w:rPr>
        <w:t xml:space="preserve"> </w:t>
      </w:r>
      <w:r w:rsidRPr="001215B9">
        <w:rPr>
          <w:rFonts w:ascii="Calibri" w:hAnsi="Calibri"/>
          <w:spacing w:val="-1"/>
        </w:rPr>
        <w:t>specific</w:t>
      </w:r>
      <w:r w:rsidR="004B2132">
        <w:rPr>
          <w:rFonts w:ascii="Calibri" w:hAnsi="Calibri"/>
          <w:spacing w:val="-1"/>
        </w:rPr>
        <w:t xml:space="preserve"> </w:t>
      </w:r>
      <w:r w:rsidRPr="001215B9">
        <w:rPr>
          <w:rFonts w:ascii="Calibri" w:hAnsi="Calibri"/>
          <w:spacing w:val="-1"/>
        </w:rPr>
        <w:t>sectoral</w:t>
      </w:r>
      <w:r w:rsidR="004B2132">
        <w:rPr>
          <w:rFonts w:ascii="Calibri" w:hAnsi="Calibri"/>
          <w:spacing w:val="-1"/>
        </w:rPr>
        <w:t xml:space="preserve"> </w:t>
      </w:r>
      <w:r w:rsidRPr="001215B9">
        <w:rPr>
          <w:rFonts w:ascii="Calibri" w:hAnsi="Calibri"/>
          <w:spacing w:val="-1"/>
        </w:rPr>
        <w:t>commitments</w:t>
      </w:r>
      <w:r w:rsidR="004B2132">
        <w:rPr>
          <w:rFonts w:ascii="Calibri" w:hAnsi="Calibri"/>
          <w:spacing w:val="-1"/>
        </w:rPr>
        <w:t xml:space="preserve"> </w:t>
      </w:r>
      <w:r w:rsidR="00A63CFC" w:rsidRPr="001215B9">
        <w:rPr>
          <w:rFonts w:ascii="Calibri" w:hAnsi="Calibri"/>
          <w:spacing w:val="-1"/>
        </w:rPr>
        <w:t>(WTO</w:t>
      </w:r>
      <w:r w:rsidR="00533910">
        <w:rPr>
          <w:rFonts w:ascii="Calibri" w:hAnsi="Calibri"/>
          <w:spacing w:val="-1"/>
        </w:rPr>
        <w:t xml:space="preserve"> </w:t>
      </w:r>
      <w:r w:rsidR="00A63CFC" w:rsidRPr="001215B9">
        <w:rPr>
          <w:rFonts w:ascii="Calibri" w:hAnsi="Calibri"/>
          <w:spacing w:val="-1"/>
        </w:rPr>
        <w:t>1998:</w:t>
      </w:r>
      <w:r w:rsidR="00533910">
        <w:rPr>
          <w:rFonts w:ascii="Calibri" w:hAnsi="Calibri"/>
          <w:spacing w:val="-1"/>
        </w:rPr>
        <w:t xml:space="preserve"> </w:t>
      </w:r>
      <w:r w:rsidR="00A63CFC" w:rsidRPr="001215B9">
        <w:rPr>
          <w:rFonts w:ascii="Calibri" w:hAnsi="Calibri"/>
        </w:rPr>
        <w:t>11ff.).</w:t>
      </w:r>
    </w:p>
    <w:p w14:paraId="32C19FDB" w14:textId="0BC0A030" w:rsidR="004546BC" w:rsidRPr="001215B9" w:rsidRDefault="00197E36" w:rsidP="001215B9">
      <w:pPr>
        <w:spacing w:after="120" w:line="360" w:lineRule="auto"/>
        <w:jc w:val="both"/>
        <w:rPr>
          <w:rFonts w:ascii="Calibri" w:hAnsi="Calibri"/>
          <w:spacing w:val="-1"/>
        </w:rPr>
      </w:pPr>
      <w:r>
        <w:rPr>
          <w:rFonts w:ascii="Calibri" w:hAnsi="Calibri"/>
          <w:spacing w:val="-1"/>
        </w:rPr>
        <w:t xml:space="preserve">In the following we </w:t>
      </w:r>
      <w:r w:rsidR="00EA4C8B">
        <w:rPr>
          <w:rFonts w:ascii="Calibri" w:hAnsi="Calibri"/>
          <w:spacing w:val="-1"/>
        </w:rPr>
        <w:t xml:space="preserve">map existing GATS </w:t>
      </w:r>
      <w:r w:rsidR="000B6B2F" w:rsidRPr="001215B9">
        <w:rPr>
          <w:rFonts w:ascii="Calibri" w:hAnsi="Calibri"/>
          <w:spacing w:val="-1"/>
        </w:rPr>
        <w:t>commitments undertaken by the EU</w:t>
      </w:r>
      <w:r w:rsidR="00EA4C8B">
        <w:rPr>
          <w:rFonts w:ascii="Calibri" w:hAnsi="Calibri"/>
          <w:spacing w:val="-1"/>
        </w:rPr>
        <w:t>,</w:t>
      </w:r>
      <w:r w:rsidR="000B6B2F" w:rsidRPr="001215B9">
        <w:rPr>
          <w:rFonts w:ascii="Calibri" w:hAnsi="Calibri"/>
          <w:spacing w:val="-1"/>
        </w:rPr>
        <w:t xml:space="preserve"> the US </w:t>
      </w:r>
      <w:r w:rsidR="00EA4C8B">
        <w:rPr>
          <w:rFonts w:ascii="Calibri" w:hAnsi="Calibri"/>
          <w:spacing w:val="-1"/>
        </w:rPr>
        <w:t xml:space="preserve">and </w:t>
      </w:r>
      <w:r w:rsidR="006D386D" w:rsidRPr="001215B9">
        <w:rPr>
          <w:rFonts w:ascii="Calibri" w:hAnsi="Calibri"/>
          <w:spacing w:val="-1"/>
        </w:rPr>
        <w:t>India</w:t>
      </w:r>
      <w:r w:rsidR="005842B4">
        <w:rPr>
          <w:rFonts w:ascii="Calibri" w:hAnsi="Calibri"/>
          <w:spacing w:val="-1"/>
        </w:rPr>
        <w:t xml:space="preserve">, discussing interests and reluctances </w:t>
      </w:r>
      <w:r w:rsidR="00533910">
        <w:rPr>
          <w:rFonts w:ascii="Calibri" w:hAnsi="Calibri"/>
          <w:spacing w:val="-1"/>
        </w:rPr>
        <w:t>on liberalis</w:t>
      </w:r>
      <w:r w:rsidR="00660802">
        <w:rPr>
          <w:rFonts w:ascii="Calibri" w:hAnsi="Calibri"/>
          <w:spacing w:val="-1"/>
        </w:rPr>
        <w:t>ation</w:t>
      </w:r>
      <w:r w:rsidR="005842B4">
        <w:rPr>
          <w:rFonts w:ascii="Calibri" w:hAnsi="Calibri"/>
          <w:spacing w:val="-1"/>
        </w:rPr>
        <w:t xml:space="preserve"> on both sides</w:t>
      </w:r>
      <w:r w:rsidR="006F24A4" w:rsidRPr="001215B9">
        <w:rPr>
          <w:rFonts w:ascii="Calibri" w:hAnsi="Calibri"/>
          <w:spacing w:val="-1"/>
        </w:rPr>
        <w:t>.</w:t>
      </w:r>
    </w:p>
    <w:p w14:paraId="30612683" w14:textId="77777777" w:rsidR="00EE4CA5" w:rsidRPr="001215B9" w:rsidRDefault="00EE4CA5" w:rsidP="001215B9">
      <w:pPr>
        <w:spacing w:after="120" w:line="360" w:lineRule="auto"/>
        <w:jc w:val="both"/>
        <w:rPr>
          <w:rFonts w:ascii="Calibri" w:hAnsi="Calibri"/>
        </w:rPr>
      </w:pPr>
      <w:r w:rsidRPr="001215B9">
        <w:rPr>
          <w:rFonts w:ascii="Calibri" w:hAnsi="Calibri"/>
        </w:rPr>
        <w:t>European Union</w:t>
      </w:r>
    </w:p>
    <w:p w14:paraId="1A0F3653" w14:textId="4DFA3BD9" w:rsidR="00B77815" w:rsidRPr="001215B9" w:rsidRDefault="00A63CFC" w:rsidP="001215B9">
      <w:pPr>
        <w:spacing w:after="120" w:line="360" w:lineRule="auto"/>
        <w:jc w:val="both"/>
        <w:rPr>
          <w:rFonts w:ascii="Calibri" w:hAnsi="Calibri"/>
          <w:spacing w:val="-1"/>
        </w:rPr>
      </w:pPr>
      <w:r w:rsidRPr="001215B9">
        <w:rPr>
          <w:rFonts w:ascii="Calibri" w:hAnsi="Calibri"/>
          <w:spacing w:val="-1"/>
        </w:rPr>
        <w:lastRenderedPageBreak/>
        <w:t>The E</w:t>
      </w:r>
      <w:r w:rsidR="003E4A22">
        <w:rPr>
          <w:rFonts w:ascii="Calibri" w:hAnsi="Calibri"/>
          <w:spacing w:val="-1"/>
        </w:rPr>
        <w:t>U</w:t>
      </w:r>
      <w:r w:rsidRPr="001215B9">
        <w:rPr>
          <w:rFonts w:ascii="Calibri" w:hAnsi="Calibri"/>
          <w:spacing w:val="-1"/>
        </w:rPr>
        <w:t xml:space="preserve">'s horizontal commitments under </w:t>
      </w:r>
      <w:r w:rsidR="00EE1491">
        <w:rPr>
          <w:rFonts w:ascii="Calibri" w:hAnsi="Calibri"/>
          <w:spacing w:val="-1"/>
        </w:rPr>
        <w:t>GATS</w:t>
      </w:r>
      <w:r w:rsidR="00AE3D5B">
        <w:rPr>
          <w:rStyle w:val="Funotenzeichen"/>
          <w:rFonts w:ascii="Calibri" w:hAnsi="Calibri"/>
          <w:spacing w:val="-1"/>
        </w:rPr>
        <w:footnoteReference w:id="9"/>
      </w:r>
      <w:r w:rsidR="00EE1491">
        <w:rPr>
          <w:rFonts w:ascii="Calibri" w:hAnsi="Calibri"/>
          <w:spacing w:val="-1"/>
        </w:rPr>
        <w:t xml:space="preserve"> </w:t>
      </w:r>
      <w:r w:rsidRPr="001215B9">
        <w:rPr>
          <w:rFonts w:ascii="Calibri" w:hAnsi="Calibri"/>
          <w:spacing w:val="-1"/>
        </w:rPr>
        <w:t xml:space="preserve">provide for the temporary presence </w:t>
      </w:r>
      <w:r w:rsidR="00804B20" w:rsidRPr="001215B9">
        <w:rPr>
          <w:rFonts w:ascii="Calibri" w:hAnsi="Calibri"/>
          <w:spacing w:val="-1"/>
        </w:rPr>
        <w:t>of</w:t>
      </w:r>
      <w:r w:rsidRPr="001215B9">
        <w:rPr>
          <w:rFonts w:ascii="Calibri" w:hAnsi="Calibri"/>
          <w:spacing w:val="-1"/>
        </w:rPr>
        <w:t xml:space="preserve"> intra-corporate transferee</w:t>
      </w:r>
      <w:r w:rsidR="009448EC" w:rsidRPr="001215B9">
        <w:rPr>
          <w:rStyle w:val="Funotenzeichen"/>
          <w:rFonts w:ascii="Calibri" w:hAnsi="Calibri"/>
        </w:rPr>
        <w:footnoteReference w:id="10"/>
      </w:r>
      <w:r w:rsidRPr="001215B9">
        <w:rPr>
          <w:rFonts w:ascii="Calibri" w:hAnsi="Calibri"/>
          <w:spacing w:val="-1"/>
        </w:rPr>
        <w:t xml:space="preserve">, </w:t>
      </w:r>
      <w:r w:rsidR="009448EC" w:rsidRPr="001215B9">
        <w:rPr>
          <w:rFonts w:ascii="Calibri" w:hAnsi="Calibri"/>
          <w:spacing w:val="-1"/>
        </w:rPr>
        <w:t xml:space="preserve">or </w:t>
      </w:r>
      <w:r w:rsidRPr="001215B9">
        <w:rPr>
          <w:rFonts w:ascii="Calibri" w:hAnsi="Calibri"/>
          <w:spacing w:val="-1"/>
        </w:rPr>
        <w:t>natural persons in a senior position</w:t>
      </w:r>
      <w:r w:rsidR="009460D0">
        <w:rPr>
          <w:rFonts w:ascii="Calibri" w:hAnsi="Calibri"/>
          <w:spacing w:val="-1"/>
        </w:rPr>
        <w:t>,</w:t>
      </w:r>
      <w:r w:rsidRPr="001215B9">
        <w:rPr>
          <w:rFonts w:ascii="Calibri" w:hAnsi="Calibri"/>
          <w:spacing w:val="-1"/>
        </w:rPr>
        <w:t xml:space="preserve"> or who possess uncommon knowledge essential to the establishment's service, research equipment, techniques or management.</w:t>
      </w:r>
      <w:r w:rsidR="00C3734B">
        <w:rPr>
          <w:rFonts w:ascii="Calibri" w:hAnsi="Calibri"/>
          <w:spacing w:val="-1"/>
        </w:rPr>
        <w:t xml:space="preserve"> </w:t>
      </w:r>
      <w:r w:rsidR="0033452F" w:rsidRPr="001215B9">
        <w:rPr>
          <w:rFonts w:ascii="Calibri" w:hAnsi="Calibri"/>
          <w:spacing w:val="-1"/>
        </w:rPr>
        <w:t>The duration of "temporary stay" is defined by the Member States and, where they exist, Community laws and regulations regarding entry, stay and work</w:t>
      </w:r>
      <w:r w:rsidR="00BA1F6E" w:rsidRPr="001215B9">
        <w:rPr>
          <w:rFonts w:ascii="Calibri" w:hAnsi="Calibri"/>
          <w:spacing w:val="-1"/>
        </w:rPr>
        <w:t>, social security</w:t>
      </w:r>
      <w:r w:rsidR="00361FCB" w:rsidRPr="001215B9">
        <w:rPr>
          <w:rFonts w:ascii="Calibri" w:hAnsi="Calibri"/>
          <w:spacing w:val="-1"/>
        </w:rPr>
        <w:t xml:space="preserve"> measures</w:t>
      </w:r>
      <w:r w:rsidR="00BA1F6E" w:rsidRPr="001215B9">
        <w:rPr>
          <w:rFonts w:ascii="Calibri" w:hAnsi="Calibri"/>
          <w:spacing w:val="-1"/>
        </w:rPr>
        <w:t xml:space="preserve">, minimum wages </w:t>
      </w:r>
      <w:r w:rsidR="0076323D">
        <w:rPr>
          <w:rFonts w:ascii="Calibri" w:hAnsi="Calibri"/>
          <w:spacing w:val="-1"/>
        </w:rPr>
        <w:t xml:space="preserve">or </w:t>
      </w:r>
      <w:r w:rsidR="00BA1F6E" w:rsidRPr="001215B9">
        <w:rPr>
          <w:rFonts w:ascii="Calibri" w:hAnsi="Calibri"/>
          <w:spacing w:val="-1"/>
        </w:rPr>
        <w:t xml:space="preserve">collective wage agreements </w:t>
      </w:r>
      <w:r w:rsidR="0033452F" w:rsidRPr="001215B9">
        <w:rPr>
          <w:rFonts w:ascii="Calibri" w:hAnsi="Calibri"/>
          <w:spacing w:val="-1"/>
        </w:rPr>
        <w:t>apply.</w:t>
      </w:r>
      <w:r w:rsidR="00C3734B">
        <w:rPr>
          <w:rFonts w:ascii="Calibri" w:hAnsi="Calibri"/>
          <w:spacing w:val="-1"/>
        </w:rPr>
        <w:t xml:space="preserve"> </w:t>
      </w:r>
      <w:r w:rsidR="00362014" w:rsidRPr="001215B9">
        <w:rPr>
          <w:rFonts w:ascii="Calibri" w:hAnsi="Calibri"/>
          <w:spacing w:val="-1"/>
        </w:rPr>
        <w:t xml:space="preserve">These rather few horizontal openings for mode 4 are further restricted across sectoral commitments that </w:t>
      </w:r>
      <w:r w:rsidR="00AD3FA2" w:rsidRPr="001215B9">
        <w:rPr>
          <w:rFonts w:ascii="Calibri" w:hAnsi="Calibri"/>
          <w:spacing w:val="-1"/>
        </w:rPr>
        <w:t xml:space="preserve">in certain </w:t>
      </w:r>
      <w:r w:rsidR="00065AD8">
        <w:rPr>
          <w:rFonts w:ascii="Calibri" w:hAnsi="Calibri"/>
          <w:spacing w:val="-1"/>
        </w:rPr>
        <w:t>areas</w:t>
      </w:r>
      <w:r w:rsidR="00C3734B">
        <w:rPr>
          <w:rFonts w:ascii="Calibri" w:hAnsi="Calibri"/>
          <w:spacing w:val="-1"/>
        </w:rPr>
        <w:t xml:space="preserve"> </w:t>
      </w:r>
      <w:r w:rsidR="00362014" w:rsidRPr="001215B9">
        <w:rPr>
          <w:rFonts w:ascii="Calibri" w:hAnsi="Calibri"/>
          <w:spacing w:val="-1"/>
        </w:rPr>
        <w:t xml:space="preserve">discriminate based on nationality or economic needs tests </w:t>
      </w:r>
      <w:r w:rsidR="00AD3FA2" w:rsidRPr="001215B9">
        <w:rPr>
          <w:rFonts w:ascii="Calibri" w:hAnsi="Calibri"/>
          <w:spacing w:val="-1"/>
        </w:rPr>
        <w:t>criteria</w:t>
      </w:r>
      <w:r w:rsidR="00362014" w:rsidRPr="001215B9">
        <w:rPr>
          <w:rFonts w:ascii="Calibri" w:hAnsi="Calibri"/>
          <w:spacing w:val="-1"/>
        </w:rPr>
        <w:t>.</w:t>
      </w:r>
    </w:p>
    <w:p w14:paraId="54A3D39C" w14:textId="70E232C2" w:rsidR="00CE1324" w:rsidRPr="001215B9" w:rsidRDefault="003E4A22" w:rsidP="001215B9">
      <w:pPr>
        <w:spacing w:after="120" w:line="360" w:lineRule="auto"/>
        <w:jc w:val="both"/>
        <w:rPr>
          <w:rFonts w:ascii="Calibri" w:hAnsi="Calibri"/>
          <w:spacing w:val="-1"/>
        </w:rPr>
      </w:pPr>
      <w:r>
        <w:rPr>
          <w:rFonts w:ascii="Calibri" w:hAnsi="Calibri"/>
          <w:spacing w:val="-1"/>
        </w:rPr>
        <w:t>I</w:t>
      </w:r>
      <w:r w:rsidR="00053F04" w:rsidRPr="001215B9">
        <w:rPr>
          <w:rFonts w:ascii="Calibri" w:hAnsi="Calibri"/>
          <w:spacing w:val="-1"/>
        </w:rPr>
        <w:t>n 2005</w:t>
      </w:r>
      <w:r w:rsidR="00616CCE" w:rsidRPr="001215B9">
        <w:rPr>
          <w:rFonts w:ascii="Calibri" w:hAnsi="Calibri"/>
          <w:spacing w:val="-1"/>
        </w:rPr>
        <w:t xml:space="preserve"> several WTO members presented revised </w:t>
      </w:r>
      <w:r w:rsidR="007F1823">
        <w:rPr>
          <w:rFonts w:ascii="Calibri" w:hAnsi="Calibri"/>
          <w:spacing w:val="-1"/>
        </w:rPr>
        <w:t xml:space="preserve">services </w:t>
      </w:r>
      <w:r w:rsidR="00616CCE" w:rsidRPr="001215B9">
        <w:rPr>
          <w:rFonts w:ascii="Calibri" w:hAnsi="Calibri"/>
          <w:spacing w:val="-1"/>
        </w:rPr>
        <w:t>offers</w:t>
      </w:r>
      <w:r>
        <w:rPr>
          <w:rFonts w:ascii="Calibri" w:hAnsi="Calibri"/>
          <w:spacing w:val="-1"/>
        </w:rPr>
        <w:t>, and t</w:t>
      </w:r>
      <w:r w:rsidR="005F4B69" w:rsidRPr="001215B9">
        <w:rPr>
          <w:rFonts w:ascii="Calibri" w:hAnsi="Calibri"/>
          <w:spacing w:val="-1"/>
        </w:rPr>
        <w:t>he E</w:t>
      </w:r>
      <w:r>
        <w:rPr>
          <w:rFonts w:ascii="Calibri" w:hAnsi="Calibri"/>
          <w:spacing w:val="-1"/>
        </w:rPr>
        <w:t>U</w:t>
      </w:r>
      <w:r w:rsidR="00C3734B">
        <w:rPr>
          <w:rFonts w:ascii="Calibri" w:hAnsi="Calibri"/>
          <w:spacing w:val="-1"/>
        </w:rPr>
        <w:t xml:space="preserve"> </w:t>
      </w:r>
      <w:r w:rsidR="00616CCE" w:rsidRPr="001215B9">
        <w:rPr>
          <w:rFonts w:ascii="Calibri" w:hAnsi="Calibri"/>
          <w:spacing w:val="-1"/>
        </w:rPr>
        <w:t>was among those who tabled improved</w:t>
      </w:r>
      <w:r w:rsidR="00C3734B">
        <w:rPr>
          <w:rFonts w:ascii="Calibri" w:hAnsi="Calibri"/>
          <w:spacing w:val="-1"/>
        </w:rPr>
        <w:t xml:space="preserve"> </w:t>
      </w:r>
      <w:r w:rsidR="005F4B69" w:rsidRPr="001215B9">
        <w:rPr>
          <w:rFonts w:ascii="Calibri" w:hAnsi="Calibri"/>
          <w:spacing w:val="-1"/>
        </w:rPr>
        <w:t>offer</w:t>
      </w:r>
      <w:r w:rsidR="00616CCE" w:rsidRPr="001215B9">
        <w:rPr>
          <w:rFonts w:ascii="Calibri" w:hAnsi="Calibri"/>
          <w:spacing w:val="-1"/>
        </w:rPr>
        <w:t>s</w:t>
      </w:r>
      <w:r w:rsidR="00C3734B">
        <w:rPr>
          <w:rFonts w:ascii="Calibri" w:hAnsi="Calibri"/>
          <w:spacing w:val="-1"/>
        </w:rPr>
        <w:t xml:space="preserve"> </w:t>
      </w:r>
      <w:r w:rsidR="00616CCE" w:rsidRPr="001215B9">
        <w:rPr>
          <w:rFonts w:ascii="Calibri" w:hAnsi="Calibri"/>
          <w:spacing w:val="-1"/>
        </w:rPr>
        <w:t>for</w:t>
      </w:r>
      <w:r w:rsidR="005F4B69" w:rsidRPr="001215B9">
        <w:rPr>
          <w:rFonts w:ascii="Calibri" w:hAnsi="Calibri"/>
          <w:spacing w:val="-1"/>
        </w:rPr>
        <w:t xml:space="preserve"> mode 4</w:t>
      </w:r>
      <w:r w:rsidR="00616CCE" w:rsidRPr="001215B9">
        <w:rPr>
          <w:rFonts w:ascii="Calibri" w:hAnsi="Calibri"/>
          <w:spacing w:val="-1"/>
        </w:rPr>
        <w:t>. H</w:t>
      </w:r>
      <w:r w:rsidR="005F4B69" w:rsidRPr="001215B9">
        <w:rPr>
          <w:rFonts w:ascii="Calibri" w:hAnsi="Calibri"/>
          <w:spacing w:val="-1"/>
        </w:rPr>
        <w:t>owever</w:t>
      </w:r>
      <w:r w:rsidR="00616CCE" w:rsidRPr="001215B9">
        <w:rPr>
          <w:rFonts w:ascii="Calibri" w:hAnsi="Calibri"/>
          <w:spacing w:val="-1"/>
        </w:rPr>
        <w:t>,</w:t>
      </w:r>
      <w:r w:rsidR="00C3734B">
        <w:rPr>
          <w:rFonts w:ascii="Calibri" w:hAnsi="Calibri"/>
          <w:spacing w:val="-1"/>
        </w:rPr>
        <w:t xml:space="preserve"> </w:t>
      </w:r>
      <w:r w:rsidR="00053F04" w:rsidRPr="001215B9">
        <w:rPr>
          <w:rFonts w:ascii="Calibri" w:hAnsi="Calibri"/>
          <w:spacing w:val="-1"/>
        </w:rPr>
        <w:t xml:space="preserve">due to the stalled negotiations at the multilateral level, </w:t>
      </w:r>
      <w:r w:rsidR="005F4B69" w:rsidRPr="001215B9">
        <w:rPr>
          <w:rFonts w:ascii="Calibri" w:hAnsi="Calibri"/>
          <w:spacing w:val="-1"/>
        </w:rPr>
        <w:t>th</w:t>
      </w:r>
      <w:r w:rsidR="001F2C07" w:rsidRPr="001215B9">
        <w:rPr>
          <w:rFonts w:ascii="Calibri" w:hAnsi="Calibri"/>
          <w:spacing w:val="-1"/>
        </w:rPr>
        <w:t>is</w:t>
      </w:r>
      <w:r w:rsidR="00C3734B">
        <w:rPr>
          <w:rFonts w:ascii="Calibri" w:hAnsi="Calibri"/>
          <w:spacing w:val="-1"/>
        </w:rPr>
        <w:t xml:space="preserve"> </w:t>
      </w:r>
      <w:r w:rsidR="001F2C07" w:rsidRPr="001215B9">
        <w:rPr>
          <w:rFonts w:ascii="Calibri" w:hAnsi="Calibri"/>
          <w:spacing w:val="-1"/>
        </w:rPr>
        <w:t>has</w:t>
      </w:r>
      <w:r w:rsidR="005F4B69" w:rsidRPr="001215B9">
        <w:rPr>
          <w:rFonts w:ascii="Calibri" w:hAnsi="Calibri"/>
          <w:spacing w:val="-1"/>
        </w:rPr>
        <w:t xml:space="preserve"> not come into force. </w:t>
      </w:r>
      <w:r w:rsidR="00B408C5" w:rsidRPr="001215B9">
        <w:rPr>
          <w:rFonts w:ascii="Calibri" w:hAnsi="Calibri"/>
          <w:spacing w:val="-1"/>
        </w:rPr>
        <w:t>Some of the revised</w:t>
      </w:r>
      <w:r w:rsidR="00913B41" w:rsidRPr="001215B9">
        <w:rPr>
          <w:rFonts w:ascii="Calibri" w:hAnsi="Calibri"/>
          <w:spacing w:val="-1"/>
        </w:rPr>
        <w:t xml:space="preserve"> provisions were nevertheless </w:t>
      </w:r>
      <w:r w:rsidR="00F03DCF" w:rsidRPr="001215B9">
        <w:rPr>
          <w:rFonts w:ascii="Calibri" w:hAnsi="Calibri"/>
          <w:spacing w:val="-1"/>
        </w:rPr>
        <w:t>taken up</w:t>
      </w:r>
      <w:r w:rsidR="00913B41" w:rsidRPr="001215B9">
        <w:rPr>
          <w:rFonts w:ascii="Calibri" w:hAnsi="Calibri"/>
          <w:spacing w:val="-1"/>
        </w:rPr>
        <w:t xml:space="preserve"> in bilateral FTAs signed by the EU. </w:t>
      </w:r>
      <w:r w:rsidR="005F4B69" w:rsidRPr="001215B9">
        <w:rPr>
          <w:rFonts w:ascii="Calibri" w:hAnsi="Calibri"/>
          <w:spacing w:val="-1"/>
        </w:rPr>
        <w:t xml:space="preserve">The envisaged </w:t>
      </w:r>
      <w:r w:rsidR="00D73A25" w:rsidRPr="001215B9">
        <w:rPr>
          <w:rFonts w:ascii="Calibri" w:hAnsi="Calibri"/>
          <w:spacing w:val="-1"/>
        </w:rPr>
        <w:t xml:space="preserve">horizontal commitments </w:t>
      </w:r>
      <w:r w:rsidR="00CB1105">
        <w:rPr>
          <w:rFonts w:ascii="Calibri" w:hAnsi="Calibri"/>
          <w:spacing w:val="-1"/>
        </w:rPr>
        <w:t xml:space="preserve">thought to </w:t>
      </w:r>
      <w:r w:rsidR="00871B48">
        <w:rPr>
          <w:rFonts w:ascii="Calibri" w:hAnsi="Calibri"/>
          <w:spacing w:val="-1"/>
        </w:rPr>
        <w:t>extend</w:t>
      </w:r>
      <w:r w:rsidR="00C3734B">
        <w:rPr>
          <w:rFonts w:ascii="Calibri" w:hAnsi="Calibri"/>
          <w:spacing w:val="-1"/>
        </w:rPr>
        <w:t xml:space="preserve"> </w:t>
      </w:r>
      <w:r w:rsidR="000764A5" w:rsidRPr="001215B9">
        <w:rPr>
          <w:rFonts w:ascii="Calibri" w:hAnsi="Calibri"/>
          <w:spacing w:val="-1"/>
        </w:rPr>
        <w:t xml:space="preserve">mobility </w:t>
      </w:r>
      <w:r w:rsidR="00871B48">
        <w:rPr>
          <w:rFonts w:ascii="Calibri" w:hAnsi="Calibri"/>
          <w:spacing w:val="-1"/>
        </w:rPr>
        <w:t>rights to</w:t>
      </w:r>
      <w:r w:rsidR="00C3734B">
        <w:rPr>
          <w:rFonts w:ascii="Calibri" w:hAnsi="Calibri"/>
          <w:spacing w:val="-1"/>
        </w:rPr>
        <w:t xml:space="preserve"> </w:t>
      </w:r>
      <w:r w:rsidR="000764A5" w:rsidRPr="001215B9">
        <w:rPr>
          <w:rFonts w:ascii="Calibri" w:hAnsi="Calibri"/>
          <w:spacing w:val="-1"/>
        </w:rPr>
        <w:t>graduate trainees</w:t>
      </w:r>
      <w:r w:rsidR="00BB7710">
        <w:rPr>
          <w:rFonts w:ascii="Calibri" w:hAnsi="Calibri"/>
          <w:spacing w:val="-1"/>
        </w:rPr>
        <w:t xml:space="preserve"> (</w:t>
      </w:r>
      <w:r w:rsidR="00871B48">
        <w:rPr>
          <w:rFonts w:ascii="Calibri" w:hAnsi="Calibri"/>
          <w:spacing w:val="-1"/>
        </w:rPr>
        <w:t>under</w:t>
      </w:r>
      <w:r w:rsidR="00BB7710">
        <w:rPr>
          <w:rFonts w:ascii="Calibri" w:hAnsi="Calibri"/>
          <w:spacing w:val="-1"/>
        </w:rPr>
        <w:t xml:space="preserve"> ICTs or BVs)</w:t>
      </w:r>
      <w:r w:rsidR="00896593">
        <w:rPr>
          <w:rFonts w:ascii="Calibri" w:hAnsi="Calibri"/>
          <w:spacing w:val="-1"/>
        </w:rPr>
        <w:t xml:space="preserve">, </w:t>
      </w:r>
      <w:r w:rsidR="00C41734">
        <w:rPr>
          <w:rFonts w:ascii="Calibri" w:hAnsi="Calibri"/>
          <w:spacing w:val="-1"/>
        </w:rPr>
        <w:t>CSS</w:t>
      </w:r>
      <w:r w:rsidR="00ED6FC1" w:rsidRPr="001215B9">
        <w:rPr>
          <w:rFonts w:ascii="Calibri" w:hAnsi="Calibri"/>
          <w:spacing w:val="-1"/>
        </w:rPr>
        <w:t>s and</w:t>
      </w:r>
      <w:r w:rsidR="00C3734B">
        <w:rPr>
          <w:rFonts w:ascii="Calibri" w:hAnsi="Calibri"/>
          <w:spacing w:val="-1"/>
        </w:rPr>
        <w:t xml:space="preserve"> </w:t>
      </w:r>
      <w:r w:rsidR="00C41734">
        <w:rPr>
          <w:rFonts w:ascii="Calibri" w:hAnsi="Calibri"/>
          <w:spacing w:val="-1"/>
        </w:rPr>
        <w:t>IPs</w:t>
      </w:r>
      <w:r w:rsidR="00CB1105">
        <w:rPr>
          <w:rFonts w:ascii="Calibri" w:hAnsi="Calibri"/>
          <w:spacing w:val="-1"/>
        </w:rPr>
        <w:t>. A</w:t>
      </w:r>
      <w:r w:rsidR="00A72E96">
        <w:rPr>
          <w:rFonts w:ascii="Calibri" w:hAnsi="Calibri"/>
          <w:spacing w:val="-1"/>
        </w:rPr>
        <w:t>lthough restricted</w:t>
      </w:r>
      <w:r w:rsidR="00C3734B">
        <w:rPr>
          <w:rFonts w:ascii="Calibri" w:hAnsi="Calibri"/>
          <w:spacing w:val="-1"/>
        </w:rPr>
        <w:t xml:space="preserve"> </w:t>
      </w:r>
      <w:r w:rsidR="00736C20" w:rsidRPr="001215B9">
        <w:rPr>
          <w:rFonts w:ascii="Calibri" w:hAnsi="Calibri"/>
          <w:spacing w:val="-1"/>
        </w:rPr>
        <w:t xml:space="preserve">to a </w:t>
      </w:r>
      <w:r w:rsidR="00A341E6" w:rsidRPr="001215B9">
        <w:rPr>
          <w:rFonts w:ascii="Calibri" w:hAnsi="Calibri"/>
          <w:spacing w:val="-1"/>
        </w:rPr>
        <w:t>few</w:t>
      </w:r>
      <w:r w:rsidR="0042531E" w:rsidRPr="001215B9">
        <w:rPr>
          <w:rFonts w:ascii="Calibri" w:hAnsi="Calibri"/>
          <w:spacing w:val="-1"/>
        </w:rPr>
        <w:t xml:space="preserve"> sectors</w:t>
      </w:r>
      <w:r w:rsidR="00AF4CA8" w:rsidRPr="001215B9">
        <w:rPr>
          <w:rFonts w:ascii="Calibri" w:hAnsi="Calibri"/>
          <w:spacing w:val="-1"/>
        </w:rPr>
        <w:t xml:space="preserve">, </w:t>
      </w:r>
      <w:r w:rsidR="007A486D">
        <w:rPr>
          <w:rFonts w:ascii="Calibri" w:hAnsi="Calibri"/>
          <w:spacing w:val="-1"/>
        </w:rPr>
        <w:t xml:space="preserve">for </w:t>
      </w:r>
      <w:r w:rsidR="00CB1105">
        <w:rPr>
          <w:rFonts w:ascii="Calibri" w:hAnsi="Calibri"/>
          <w:spacing w:val="-1"/>
        </w:rPr>
        <w:t>short term</w:t>
      </w:r>
      <w:r w:rsidR="005F0DEC">
        <w:rPr>
          <w:rFonts w:ascii="Calibri" w:hAnsi="Calibri"/>
          <w:spacing w:val="-1"/>
        </w:rPr>
        <w:t>s</w:t>
      </w:r>
      <w:r w:rsidR="00AF4CA8" w:rsidRPr="001215B9">
        <w:rPr>
          <w:rFonts w:ascii="Calibri" w:hAnsi="Calibri"/>
          <w:spacing w:val="-1"/>
        </w:rPr>
        <w:t xml:space="preserve">, </w:t>
      </w:r>
      <w:r w:rsidR="00ED6FC1" w:rsidRPr="001215B9">
        <w:rPr>
          <w:rFonts w:ascii="Calibri" w:hAnsi="Calibri"/>
          <w:spacing w:val="-1"/>
        </w:rPr>
        <w:t xml:space="preserve">and </w:t>
      </w:r>
      <w:r w:rsidR="00150665" w:rsidRPr="001215B9">
        <w:rPr>
          <w:rFonts w:ascii="Calibri" w:hAnsi="Calibri"/>
          <w:spacing w:val="-1"/>
        </w:rPr>
        <w:t>subject to</w:t>
      </w:r>
      <w:r w:rsidR="00C3734B">
        <w:rPr>
          <w:rFonts w:ascii="Calibri" w:hAnsi="Calibri"/>
          <w:spacing w:val="-1"/>
        </w:rPr>
        <w:t xml:space="preserve"> </w:t>
      </w:r>
      <w:r w:rsidR="00150665" w:rsidRPr="001215B9">
        <w:rPr>
          <w:rFonts w:ascii="Calibri" w:hAnsi="Calibri"/>
          <w:spacing w:val="-1"/>
        </w:rPr>
        <w:t>‘</w:t>
      </w:r>
      <w:r w:rsidR="00ED6FC1" w:rsidRPr="001215B9">
        <w:rPr>
          <w:rFonts w:ascii="Calibri" w:hAnsi="Calibri"/>
          <w:spacing w:val="-1"/>
        </w:rPr>
        <w:t>laws, regulations and requirements of the European Communities and Member States’</w:t>
      </w:r>
      <w:r w:rsidR="00AF4CA8" w:rsidRPr="001215B9">
        <w:rPr>
          <w:rStyle w:val="Funotenzeichen"/>
          <w:rFonts w:ascii="Calibri" w:hAnsi="Calibri"/>
          <w:spacing w:val="-1"/>
        </w:rPr>
        <w:footnoteReference w:id="11"/>
      </w:r>
      <w:r w:rsidR="007A486D">
        <w:rPr>
          <w:rFonts w:ascii="Calibri" w:hAnsi="Calibri"/>
          <w:spacing w:val="-1"/>
        </w:rPr>
        <w:t>, these latter openings would have been the biggest move</w:t>
      </w:r>
      <w:r w:rsidR="00C3734B">
        <w:rPr>
          <w:rFonts w:ascii="Calibri" w:hAnsi="Calibri"/>
          <w:spacing w:val="-1"/>
        </w:rPr>
        <w:t xml:space="preserve"> </w:t>
      </w:r>
      <w:r w:rsidR="000977B7">
        <w:rPr>
          <w:rFonts w:ascii="Calibri" w:hAnsi="Calibri"/>
          <w:spacing w:val="-1"/>
        </w:rPr>
        <w:t>in favour of developing countries</w:t>
      </w:r>
      <w:r w:rsidR="00ED6FC1" w:rsidRPr="001215B9">
        <w:rPr>
          <w:rFonts w:ascii="Calibri" w:hAnsi="Calibri"/>
          <w:spacing w:val="-1"/>
        </w:rPr>
        <w:t xml:space="preserve">. </w:t>
      </w:r>
      <w:r w:rsidR="00B77815" w:rsidRPr="001215B9">
        <w:rPr>
          <w:rFonts w:ascii="Calibri" w:hAnsi="Calibri"/>
          <w:spacing w:val="-1"/>
        </w:rPr>
        <w:t>I</w:t>
      </w:r>
      <w:r w:rsidR="00CE7079" w:rsidRPr="001215B9">
        <w:rPr>
          <w:rFonts w:ascii="Calibri" w:hAnsi="Calibri"/>
          <w:spacing w:val="-1"/>
        </w:rPr>
        <w:t xml:space="preserve">n the sector-specific commitments, the main limitations </w:t>
      </w:r>
      <w:r w:rsidR="00D72F4C" w:rsidRPr="001215B9">
        <w:rPr>
          <w:rFonts w:ascii="Calibri" w:hAnsi="Calibri"/>
          <w:spacing w:val="-1"/>
        </w:rPr>
        <w:t xml:space="preserve">were </w:t>
      </w:r>
      <w:r w:rsidR="00CE7079" w:rsidRPr="001215B9">
        <w:rPr>
          <w:rFonts w:ascii="Calibri" w:hAnsi="Calibri"/>
          <w:spacing w:val="-1"/>
        </w:rPr>
        <w:t xml:space="preserve">related to </w:t>
      </w:r>
      <w:r w:rsidR="00CE1324" w:rsidRPr="001215B9">
        <w:rPr>
          <w:rFonts w:ascii="Calibri" w:hAnsi="Calibri"/>
          <w:spacing w:val="-1"/>
        </w:rPr>
        <w:t xml:space="preserve">residency and nationality requirements, and </w:t>
      </w:r>
      <w:r w:rsidR="002E175B">
        <w:rPr>
          <w:rFonts w:ascii="Calibri" w:hAnsi="Calibri"/>
          <w:spacing w:val="-1"/>
        </w:rPr>
        <w:t>ENTs.</w:t>
      </w:r>
    </w:p>
    <w:p w14:paraId="2BF9F020" w14:textId="2628D656" w:rsidR="00CE1324" w:rsidRPr="001215B9" w:rsidRDefault="00CE1324" w:rsidP="001215B9">
      <w:pPr>
        <w:spacing w:after="120" w:line="360" w:lineRule="auto"/>
        <w:jc w:val="both"/>
        <w:rPr>
          <w:rFonts w:ascii="Calibri" w:hAnsi="Calibri"/>
          <w:spacing w:val="-1"/>
        </w:rPr>
      </w:pPr>
      <w:r w:rsidRPr="001215B9">
        <w:rPr>
          <w:rFonts w:ascii="Calibri" w:hAnsi="Calibri"/>
          <w:spacing w:val="-1"/>
        </w:rPr>
        <w:t>Overall, it should be noted that mode 4 remains restricted and subject to many domestic regulations. Even in the 2005 EU’s revised offer</w:t>
      </w:r>
      <w:r w:rsidR="00ED445A">
        <w:rPr>
          <w:rFonts w:ascii="Calibri" w:hAnsi="Calibri"/>
          <w:spacing w:val="-1"/>
        </w:rPr>
        <w:t xml:space="preserve">, </w:t>
      </w:r>
      <w:r w:rsidR="000F393C">
        <w:rPr>
          <w:rFonts w:ascii="Calibri" w:hAnsi="Calibri"/>
          <w:spacing w:val="-1"/>
        </w:rPr>
        <w:t>seen as</w:t>
      </w:r>
      <w:r w:rsidR="00C3734B">
        <w:rPr>
          <w:rFonts w:ascii="Calibri" w:hAnsi="Calibri"/>
          <w:spacing w:val="-1"/>
        </w:rPr>
        <w:t xml:space="preserve"> </w:t>
      </w:r>
      <w:r w:rsidR="00ED445A">
        <w:rPr>
          <w:rFonts w:ascii="Calibri" w:hAnsi="Calibri"/>
          <w:spacing w:val="-1"/>
        </w:rPr>
        <w:t>fairly ambitious,</w:t>
      </w:r>
      <w:r w:rsidRPr="001215B9">
        <w:rPr>
          <w:rFonts w:ascii="Calibri" w:hAnsi="Calibri"/>
          <w:spacing w:val="-1"/>
        </w:rPr>
        <w:t xml:space="preserve"> mode 4 commitments relate exclusively to highly</w:t>
      </w:r>
      <w:r w:rsidR="00D7754D">
        <w:rPr>
          <w:rFonts w:ascii="Calibri" w:hAnsi="Calibri"/>
          <w:spacing w:val="-1"/>
        </w:rPr>
        <w:t>-</w:t>
      </w:r>
      <w:r w:rsidRPr="001215B9">
        <w:rPr>
          <w:rFonts w:ascii="Calibri" w:hAnsi="Calibri"/>
          <w:spacing w:val="-1"/>
        </w:rPr>
        <w:t xml:space="preserve">skilled individuals and specialists. The </w:t>
      </w:r>
      <w:r w:rsidR="002C4F96" w:rsidRPr="001215B9">
        <w:rPr>
          <w:rFonts w:ascii="Calibri" w:hAnsi="Calibri"/>
          <w:spacing w:val="-1"/>
        </w:rPr>
        <w:t>possibility to allow market access for the two</w:t>
      </w:r>
      <w:r w:rsidRPr="001215B9">
        <w:rPr>
          <w:rFonts w:ascii="Calibri" w:hAnsi="Calibri"/>
          <w:spacing w:val="-1"/>
        </w:rPr>
        <w:t xml:space="preserve"> categories delinked from commercial presence did not </w:t>
      </w:r>
      <w:r w:rsidR="00EC45DD">
        <w:rPr>
          <w:rFonts w:ascii="Calibri" w:hAnsi="Calibri"/>
          <w:spacing w:val="-1"/>
        </w:rPr>
        <w:t>move</w:t>
      </w:r>
      <w:r w:rsidR="002C3458" w:rsidRPr="001215B9">
        <w:rPr>
          <w:rFonts w:ascii="Calibri" w:hAnsi="Calibri"/>
          <w:spacing w:val="-1"/>
        </w:rPr>
        <w:t xml:space="preserve"> beyond the status quo</w:t>
      </w:r>
      <w:r w:rsidRPr="001215B9">
        <w:rPr>
          <w:rFonts w:ascii="Calibri" w:hAnsi="Calibri"/>
          <w:spacing w:val="-1"/>
        </w:rPr>
        <w:t xml:space="preserve">, as these categories </w:t>
      </w:r>
      <w:r w:rsidR="003E4A22">
        <w:rPr>
          <w:rFonts w:ascii="Calibri" w:hAnsi="Calibri"/>
          <w:spacing w:val="-1"/>
        </w:rPr>
        <w:t>a</w:t>
      </w:r>
      <w:r w:rsidR="002C3458" w:rsidRPr="001215B9">
        <w:rPr>
          <w:rFonts w:ascii="Calibri" w:hAnsi="Calibri"/>
          <w:spacing w:val="-1"/>
        </w:rPr>
        <w:t>re</w:t>
      </w:r>
      <w:r w:rsidRPr="001215B9">
        <w:rPr>
          <w:rFonts w:ascii="Calibri" w:hAnsi="Calibri"/>
          <w:spacing w:val="-1"/>
        </w:rPr>
        <w:t xml:space="preserve"> still </w:t>
      </w:r>
      <w:r w:rsidR="002C3458" w:rsidRPr="001215B9">
        <w:rPr>
          <w:rFonts w:ascii="Calibri" w:hAnsi="Calibri"/>
          <w:spacing w:val="-1"/>
        </w:rPr>
        <w:t>supposed to</w:t>
      </w:r>
      <w:r w:rsidR="00C3734B">
        <w:rPr>
          <w:rFonts w:ascii="Calibri" w:hAnsi="Calibri"/>
          <w:spacing w:val="-1"/>
        </w:rPr>
        <w:t xml:space="preserve"> </w:t>
      </w:r>
      <w:r w:rsidR="002C3458" w:rsidRPr="001215B9">
        <w:rPr>
          <w:rFonts w:ascii="Calibri" w:hAnsi="Calibri"/>
          <w:spacing w:val="-1"/>
        </w:rPr>
        <w:t>cover</w:t>
      </w:r>
      <w:r w:rsidR="00223D45">
        <w:rPr>
          <w:rFonts w:ascii="Calibri" w:hAnsi="Calibri"/>
          <w:spacing w:val="-1"/>
        </w:rPr>
        <w:t xml:space="preserve"> only </w:t>
      </w:r>
      <w:r w:rsidRPr="001215B9">
        <w:rPr>
          <w:rFonts w:ascii="Calibri" w:hAnsi="Calibri"/>
          <w:spacing w:val="-1"/>
        </w:rPr>
        <w:t xml:space="preserve">the highly qualified and </w:t>
      </w:r>
      <w:r w:rsidR="003E4A22">
        <w:rPr>
          <w:rFonts w:ascii="Calibri" w:hAnsi="Calibri"/>
          <w:spacing w:val="-1"/>
        </w:rPr>
        <w:t xml:space="preserve">are </w:t>
      </w:r>
      <w:r w:rsidR="00C16E26" w:rsidRPr="001215B9">
        <w:rPr>
          <w:rFonts w:ascii="Calibri" w:hAnsi="Calibri"/>
          <w:spacing w:val="-1"/>
        </w:rPr>
        <w:t xml:space="preserve">subject to </w:t>
      </w:r>
      <w:r w:rsidR="0027228C">
        <w:rPr>
          <w:rFonts w:ascii="Calibri" w:hAnsi="Calibri"/>
          <w:spacing w:val="-1"/>
        </w:rPr>
        <w:t xml:space="preserve">various </w:t>
      </w:r>
      <w:r w:rsidR="00C16E26" w:rsidRPr="001215B9">
        <w:rPr>
          <w:rFonts w:ascii="Calibri" w:hAnsi="Calibri"/>
          <w:spacing w:val="-1"/>
        </w:rPr>
        <w:t xml:space="preserve">sectoral restrictions. </w:t>
      </w:r>
    </w:p>
    <w:p w14:paraId="2E7DB70B" w14:textId="77777777" w:rsidR="00D5080C" w:rsidRPr="001215B9" w:rsidRDefault="00D5080C" w:rsidP="001215B9">
      <w:pPr>
        <w:spacing w:after="120" w:line="360" w:lineRule="auto"/>
        <w:jc w:val="both"/>
        <w:rPr>
          <w:rFonts w:ascii="Calibri" w:hAnsi="Calibri"/>
          <w:spacing w:val="-1"/>
        </w:rPr>
      </w:pPr>
    </w:p>
    <w:p w14:paraId="27E3FC69" w14:textId="77777777" w:rsidR="00280E72" w:rsidRPr="001215B9" w:rsidRDefault="00280E72" w:rsidP="001215B9">
      <w:pPr>
        <w:spacing w:after="120" w:line="360" w:lineRule="auto"/>
        <w:jc w:val="both"/>
        <w:rPr>
          <w:rFonts w:ascii="Calibri" w:hAnsi="Calibri"/>
          <w:spacing w:val="-1"/>
        </w:rPr>
      </w:pPr>
      <w:r w:rsidRPr="001215B9">
        <w:rPr>
          <w:rFonts w:ascii="Calibri" w:hAnsi="Calibri"/>
          <w:spacing w:val="-1"/>
        </w:rPr>
        <w:t>United States</w:t>
      </w:r>
    </w:p>
    <w:p w14:paraId="57752C9A" w14:textId="254CF804" w:rsidR="00BD0D5B" w:rsidRDefault="00744390" w:rsidP="001215B9">
      <w:pPr>
        <w:spacing w:after="120" w:line="360" w:lineRule="auto"/>
        <w:jc w:val="both"/>
        <w:rPr>
          <w:rFonts w:ascii="Calibri" w:hAnsi="Calibri"/>
          <w:spacing w:val="-1"/>
        </w:rPr>
      </w:pPr>
      <w:r w:rsidRPr="001215B9">
        <w:rPr>
          <w:rFonts w:ascii="Calibri" w:hAnsi="Calibri"/>
          <w:spacing w:val="-1"/>
        </w:rPr>
        <w:t>The US</w:t>
      </w:r>
      <w:r w:rsidR="00E77477">
        <w:rPr>
          <w:rFonts w:ascii="Calibri" w:hAnsi="Calibri"/>
          <w:spacing w:val="-1"/>
        </w:rPr>
        <w:t>’</w:t>
      </w:r>
      <w:r w:rsidRPr="001215B9">
        <w:rPr>
          <w:rFonts w:ascii="Calibri" w:hAnsi="Calibri"/>
          <w:spacing w:val="-1"/>
        </w:rPr>
        <w:t xml:space="preserve"> schedule</w:t>
      </w:r>
      <w:r w:rsidR="00BC6D93">
        <w:rPr>
          <w:rFonts w:ascii="Calibri" w:hAnsi="Calibri"/>
          <w:spacing w:val="-1"/>
        </w:rPr>
        <w:t>s</w:t>
      </w:r>
      <w:r w:rsidR="000B51E5" w:rsidRPr="001215B9">
        <w:rPr>
          <w:rStyle w:val="Funotenzeichen"/>
          <w:rFonts w:ascii="Calibri" w:hAnsi="Calibri"/>
          <w:spacing w:val="-1"/>
        </w:rPr>
        <w:footnoteReference w:id="12"/>
      </w:r>
      <w:r w:rsidR="0051504F" w:rsidRPr="001215B9">
        <w:rPr>
          <w:rFonts w:ascii="Calibri" w:hAnsi="Calibri"/>
          <w:spacing w:val="-1"/>
        </w:rPr>
        <w:t xml:space="preserve"> cover</w:t>
      </w:r>
      <w:r w:rsidR="003E0918" w:rsidRPr="001215B9">
        <w:rPr>
          <w:rFonts w:ascii="Calibri" w:hAnsi="Calibri"/>
          <w:spacing w:val="-1"/>
        </w:rPr>
        <w:t xml:space="preserve"> relatively similar </w:t>
      </w:r>
      <w:r w:rsidR="0051504F" w:rsidRPr="001215B9">
        <w:rPr>
          <w:rFonts w:ascii="Calibri" w:hAnsi="Calibri"/>
          <w:spacing w:val="-1"/>
        </w:rPr>
        <w:t xml:space="preserve">categories of service providers as </w:t>
      </w:r>
      <w:r w:rsidR="003E0918" w:rsidRPr="001215B9">
        <w:rPr>
          <w:rFonts w:ascii="Calibri" w:hAnsi="Calibri"/>
          <w:spacing w:val="-1"/>
        </w:rPr>
        <w:t>EU</w:t>
      </w:r>
      <w:r w:rsidR="00722520">
        <w:rPr>
          <w:rFonts w:ascii="Calibri" w:hAnsi="Calibri"/>
          <w:spacing w:val="-1"/>
        </w:rPr>
        <w:t>’</w:t>
      </w:r>
      <w:r w:rsidR="001E17AC">
        <w:rPr>
          <w:rFonts w:ascii="Calibri" w:hAnsi="Calibri"/>
          <w:spacing w:val="-1"/>
        </w:rPr>
        <w:t>s</w:t>
      </w:r>
      <w:r w:rsidR="003E4A22">
        <w:rPr>
          <w:rFonts w:ascii="Calibri" w:hAnsi="Calibri"/>
          <w:spacing w:val="-1"/>
        </w:rPr>
        <w:t xml:space="preserve"> and are limited to highly skilled professionals</w:t>
      </w:r>
      <w:r w:rsidR="003E0918" w:rsidRPr="001215B9">
        <w:rPr>
          <w:rFonts w:ascii="Calibri" w:hAnsi="Calibri"/>
          <w:spacing w:val="-1"/>
        </w:rPr>
        <w:t>.</w:t>
      </w:r>
      <w:r w:rsidR="00E706E2">
        <w:rPr>
          <w:rFonts w:ascii="Calibri" w:hAnsi="Calibri"/>
          <w:spacing w:val="-1"/>
        </w:rPr>
        <w:t xml:space="preserve"> </w:t>
      </w:r>
      <w:r w:rsidR="003E0918" w:rsidRPr="001215B9">
        <w:rPr>
          <w:rFonts w:ascii="Calibri" w:hAnsi="Calibri"/>
          <w:spacing w:val="-1"/>
        </w:rPr>
        <w:t>H</w:t>
      </w:r>
      <w:r w:rsidR="009C006B" w:rsidRPr="001215B9">
        <w:rPr>
          <w:rFonts w:ascii="Calibri" w:hAnsi="Calibri"/>
          <w:spacing w:val="-1"/>
        </w:rPr>
        <w:t xml:space="preserve">orizontally </w:t>
      </w:r>
      <w:r w:rsidR="003E0918" w:rsidRPr="001215B9">
        <w:rPr>
          <w:rFonts w:ascii="Calibri" w:hAnsi="Calibri"/>
          <w:spacing w:val="-1"/>
        </w:rPr>
        <w:t xml:space="preserve">it </w:t>
      </w:r>
      <w:r w:rsidR="00A54E07">
        <w:rPr>
          <w:rFonts w:ascii="Calibri" w:hAnsi="Calibri"/>
          <w:spacing w:val="-1"/>
        </w:rPr>
        <w:t>includes</w:t>
      </w:r>
      <w:r w:rsidR="009C006B" w:rsidRPr="001215B9">
        <w:rPr>
          <w:rFonts w:ascii="Calibri" w:hAnsi="Calibri"/>
          <w:spacing w:val="-1"/>
        </w:rPr>
        <w:t xml:space="preserve">: </w:t>
      </w:r>
      <w:r w:rsidR="00E526CC">
        <w:rPr>
          <w:rFonts w:ascii="Calibri" w:hAnsi="Calibri"/>
          <w:spacing w:val="-1"/>
        </w:rPr>
        <w:t>s</w:t>
      </w:r>
      <w:r w:rsidR="009C006B" w:rsidRPr="001215B9">
        <w:rPr>
          <w:rFonts w:ascii="Calibri" w:hAnsi="Calibri"/>
          <w:spacing w:val="-1"/>
        </w:rPr>
        <w:t xml:space="preserve">ervices </w:t>
      </w:r>
      <w:r w:rsidR="00E526CC">
        <w:rPr>
          <w:rFonts w:ascii="Calibri" w:hAnsi="Calibri"/>
          <w:spacing w:val="-1"/>
        </w:rPr>
        <w:t>s</w:t>
      </w:r>
      <w:r w:rsidR="009C006B" w:rsidRPr="001215B9">
        <w:rPr>
          <w:rFonts w:ascii="Calibri" w:hAnsi="Calibri"/>
          <w:spacing w:val="-1"/>
        </w:rPr>
        <w:t>alespersons</w:t>
      </w:r>
      <w:r w:rsidR="00A9733F">
        <w:rPr>
          <w:rFonts w:ascii="Calibri" w:hAnsi="Calibri"/>
          <w:spacing w:val="-1"/>
        </w:rPr>
        <w:t xml:space="preserve"> (otherwise also referred to as business visitors),</w:t>
      </w:r>
      <w:r w:rsidR="000A31BA">
        <w:rPr>
          <w:rStyle w:val="Funotenzeichen"/>
          <w:rFonts w:ascii="Calibri" w:hAnsi="Calibri"/>
          <w:spacing w:val="-1"/>
        </w:rPr>
        <w:footnoteReference w:id="13"/>
      </w:r>
      <w:r w:rsidR="00143FE3">
        <w:rPr>
          <w:rFonts w:ascii="Calibri" w:hAnsi="Calibri"/>
          <w:spacing w:val="-1"/>
        </w:rPr>
        <w:t xml:space="preserve"> </w:t>
      </w:r>
      <w:r w:rsidR="00A9733F">
        <w:rPr>
          <w:rFonts w:ascii="Calibri" w:hAnsi="Calibri"/>
          <w:spacing w:val="-1"/>
        </w:rPr>
        <w:t xml:space="preserve">whose </w:t>
      </w:r>
      <w:r w:rsidR="00220423">
        <w:rPr>
          <w:rFonts w:ascii="Calibri" w:hAnsi="Calibri"/>
          <w:spacing w:val="-1"/>
        </w:rPr>
        <w:t xml:space="preserve">duration of stay </w:t>
      </w:r>
      <w:r w:rsidR="00A9733F">
        <w:rPr>
          <w:rFonts w:ascii="Calibri" w:hAnsi="Calibri"/>
          <w:spacing w:val="-1"/>
        </w:rPr>
        <w:t xml:space="preserve">can go </w:t>
      </w:r>
      <w:r w:rsidR="00955DDB">
        <w:rPr>
          <w:rFonts w:ascii="Calibri" w:hAnsi="Calibri"/>
          <w:spacing w:val="-1"/>
        </w:rPr>
        <w:t xml:space="preserve">up </w:t>
      </w:r>
      <w:r w:rsidR="002805BE" w:rsidRPr="001215B9">
        <w:rPr>
          <w:rFonts w:ascii="Calibri" w:hAnsi="Calibri"/>
          <w:spacing w:val="-1"/>
        </w:rPr>
        <w:t>to</w:t>
      </w:r>
      <w:r w:rsidR="00E706E2">
        <w:rPr>
          <w:rFonts w:ascii="Calibri" w:hAnsi="Calibri"/>
          <w:spacing w:val="-1"/>
        </w:rPr>
        <w:t xml:space="preserve"> </w:t>
      </w:r>
      <w:r w:rsidR="002805BE" w:rsidRPr="001215B9">
        <w:rPr>
          <w:rFonts w:ascii="Calibri" w:hAnsi="Calibri"/>
          <w:spacing w:val="-1"/>
        </w:rPr>
        <w:t>90-day</w:t>
      </w:r>
      <w:r w:rsidR="00220423">
        <w:rPr>
          <w:rFonts w:ascii="Calibri" w:hAnsi="Calibri"/>
          <w:spacing w:val="-1"/>
        </w:rPr>
        <w:t>s</w:t>
      </w:r>
      <w:r w:rsidR="002805BE" w:rsidRPr="001215B9">
        <w:rPr>
          <w:rFonts w:ascii="Calibri" w:hAnsi="Calibri"/>
          <w:spacing w:val="-1"/>
        </w:rPr>
        <w:t xml:space="preserve">; ICTs </w:t>
      </w:r>
      <w:r w:rsidR="00A9733F">
        <w:rPr>
          <w:rFonts w:ascii="Calibri" w:hAnsi="Calibri"/>
          <w:spacing w:val="-1"/>
        </w:rPr>
        <w:t xml:space="preserve">such as </w:t>
      </w:r>
      <w:r w:rsidR="002805BE" w:rsidRPr="001215B9">
        <w:rPr>
          <w:rFonts w:ascii="Calibri" w:hAnsi="Calibri"/>
          <w:spacing w:val="-1"/>
        </w:rPr>
        <w:t>managers, executives and specialists</w:t>
      </w:r>
      <w:r w:rsidR="00A9733F">
        <w:rPr>
          <w:rFonts w:ascii="Calibri" w:hAnsi="Calibri"/>
          <w:spacing w:val="-1"/>
        </w:rPr>
        <w:t>, who are</w:t>
      </w:r>
      <w:r w:rsidR="00E706E2">
        <w:rPr>
          <w:rFonts w:ascii="Calibri" w:hAnsi="Calibri"/>
          <w:spacing w:val="-1"/>
        </w:rPr>
        <w:t xml:space="preserve"> </w:t>
      </w:r>
      <w:r w:rsidR="003E0918" w:rsidRPr="001215B9">
        <w:rPr>
          <w:rFonts w:ascii="Calibri" w:hAnsi="Calibri"/>
          <w:spacing w:val="-1"/>
        </w:rPr>
        <w:t>allowed to stay up to 3 years</w:t>
      </w:r>
      <w:r w:rsidR="00E77477">
        <w:rPr>
          <w:rFonts w:ascii="Calibri" w:hAnsi="Calibri"/>
          <w:spacing w:val="-1"/>
        </w:rPr>
        <w:t xml:space="preserve">, extendable </w:t>
      </w:r>
      <w:r w:rsidR="001C32D5">
        <w:rPr>
          <w:rFonts w:ascii="Calibri" w:hAnsi="Calibri"/>
          <w:spacing w:val="-1"/>
        </w:rPr>
        <w:t>for</w:t>
      </w:r>
      <w:r w:rsidR="00E706E2">
        <w:rPr>
          <w:rFonts w:ascii="Calibri" w:hAnsi="Calibri"/>
          <w:spacing w:val="-1"/>
        </w:rPr>
        <w:t xml:space="preserve"> </w:t>
      </w:r>
      <w:r w:rsidR="00BA7BFF">
        <w:rPr>
          <w:rFonts w:ascii="Calibri" w:hAnsi="Calibri"/>
          <w:spacing w:val="-1"/>
        </w:rPr>
        <w:t xml:space="preserve">additional </w:t>
      </w:r>
      <w:r w:rsidR="000C7AA3">
        <w:rPr>
          <w:rFonts w:ascii="Calibri" w:hAnsi="Calibri"/>
          <w:spacing w:val="-1"/>
        </w:rPr>
        <w:t xml:space="preserve">2 </w:t>
      </w:r>
      <w:r w:rsidR="00BA7BFF">
        <w:rPr>
          <w:rFonts w:ascii="Calibri" w:hAnsi="Calibri"/>
          <w:spacing w:val="-1"/>
        </w:rPr>
        <w:t>years</w:t>
      </w:r>
      <w:r w:rsidR="00CA4FF8" w:rsidRPr="001215B9">
        <w:rPr>
          <w:rFonts w:ascii="Calibri" w:hAnsi="Calibri"/>
          <w:spacing w:val="-1"/>
        </w:rPr>
        <w:t xml:space="preserve">; </w:t>
      </w:r>
      <w:r w:rsidR="00E526CC">
        <w:rPr>
          <w:rFonts w:ascii="Calibri" w:hAnsi="Calibri"/>
          <w:spacing w:val="-1"/>
        </w:rPr>
        <w:t>p</w:t>
      </w:r>
      <w:r w:rsidR="00CA4FF8" w:rsidRPr="001215B9">
        <w:rPr>
          <w:rFonts w:ascii="Calibri" w:hAnsi="Calibri"/>
          <w:spacing w:val="-1"/>
        </w:rPr>
        <w:t xml:space="preserve">ersonnel </w:t>
      </w:r>
      <w:r w:rsidR="00E526CC">
        <w:rPr>
          <w:rFonts w:ascii="Calibri" w:hAnsi="Calibri"/>
          <w:spacing w:val="-1"/>
        </w:rPr>
        <w:t>e</w:t>
      </w:r>
      <w:r w:rsidR="00CA4FF8" w:rsidRPr="001215B9">
        <w:rPr>
          <w:rFonts w:ascii="Calibri" w:hAnsi="Calibri"/>
          <w:spacing w:val="-1"/>
        </w:rPr>
        <w:t xml:space="preserve">ngaged in </w:t>
      </w:r>
      <w:r w:rsidR="00E526CC">
        <w:rPr>
          <w:rFonts w:ascii="Calibri" w:hAnsi="Calibri"/>
          <w:spacing w:val="-1"/>
        </w:rPr>
        <w:t>e</w:t>
      </w:r>
      <w:r w:rsidR="00CA4FF8" w:rsidRPr="001215B9">
        <w:rPr>
          <w:rFonts w:ascii="Calibri" w:hAnsi="Calibri"/>
          <w:spacing w:val="-1"/>
        </w:rPr>
        <w:t>stablishment</w:t>
      </w:r>
      <w:r w:rsidR="00A9733F">
        <w:rPr>
          <w:rFonts w:ascii="Calibri" w:hAnsi="Calibri"/>
          <w:spacing w:val="-1"/>
        </w:rPr>
        <w:t xml:space="preserve"> for the purpose of establishing a commercial presence</w:t>
      </w:r>
      <w:r w:rsidR="0051504F" w:rsidRPr="001215B9">
        <w:rPr>
          <w:rFonts w:ascii="Calibri" w:hAnsi="Calibri"/>
          <w:spacing w:val="-1"/>
        </w:rPr>
        <w:t xml:space="preserve">; </w:t>
      </w:r>
      <w:r w:rsidR="00C976B3">
        <w:rPr>
          <w:rFonts w:ascii="Calibri" w:hAnsi="Calibri"/>
          <w:spacing w:val="-1"/>
        </w:rPr>
        <w:t>f</w:t>
      </w:r>
      <w:r w:rsidR="00516571" w:rsidRPr="001215B9">
        <w:rPr>
          <w:rFonts w:ascii="Calibri" w:hAnsi="Calibri"/>
          <w:spacing w:val="-1"/>
        </w:rPr>
        <w:t xml:space="preserve">ashion </w:t>
      </w:r>
      <w:r w:rsidR="00C976B3">
        <w:rPr>
          <w:rFonts w:ascii="Calibri" w:hAnsi="Calibri"/>
          <w:spacing w:val="-1"/>
        </w:rPr>
        <w:t>m</w:t>
      </w:r>
      <w:r w:rsidR="00516571" w:rsidRPr="001215B9">
        <w:rPr>
          <w:rFonts w:ascii="Calibri" w:hAnsi="Calibri"/>
          <w:spacing w:val="-1"/>
        </w:rPr>
        <w:t xml:space="preserve">odels and </w:t>
      </w:r>
      <w:r w:rsidR="00C976B3">
        <w:rPr>
          <w:rFonts w:ascii="Calibri" w:hAnsi="Calibri"/>
          <w:spacing w:val="-1"/>
        </w:rPr>
        <w:t>s</w:t>
      </w:r>
      <w:r w:rsidR="00516571" w:rsidRPr="001215B9">
        <w:rPr>
          <w:rFonts w:ascii="Calibri" w:hAnsi="Calibri"/>
          <w:spacing w:val="-1"/>
        </w:rPr>
        <w:t xml:space="preserve">pecialty </w:t>
      </w:r>
      <w:r w:rsidR="00C976B3">
        <w:rPr>
          <w:rFonts w:ascii="Calibri" w:hAnsi="Calibri"/>
          <w:spacing w:val="-1"/>
        </w:rPr>
        <w:lastRenderedPageBreak/>
        <w:t>o</w:t>
      </w:r>
      <w:r w:rsidR="00516571" w:rsidRPr="001215B9">
        <w:rPr>
          <w:rFonts w:ascii="Calibri" w:hAnsi="Calibri"/>
          <w:spacing w:val="-1"/>
        </w:rPr>
        <w:t>ccupations</w:t>
      </w:r>
      <w:r w:rsidR="00A9733F">
        <w:rPr>
          <w:rFonts w:ascii="Calibri" w:hAnsi="Calibri"/>
          <w:spacing w:val="-1"/>
        </w:rPr>
        <w:t xml:space="preserve"> who can be admitted for a period up to t</w:t>
      </w:r>
      <w:r w:rsidR="00143FE3">
        <w:rPr>
          <w:rFonts w:ascii="Calibri" w:hAnsi="Calibri"/>
          <w:spacing w:val="-1"/>
        </w:rPr>
        <w:t>hree years. The focus on highly-</w:t>
      </w:r>
      <w:r w:rsidR="00A9733F">
        <w:rPr>
          <w:rFonts w:ascii="Calibri" w:hAnsi="Calibri"/>
          <w:spacing w:val="-1"/>
        </w:rPr>
        <w:t>skilled persons is also visible in the latter category which requires a</w:t>
      </w:r>
      <w:r w:rsidR="009C476F" w:rsidRPr="001215B9">
        <w:rPr>
          <w:rFonts w:ascii="Calibri" w:hAnsi="Calibri"/>
          <w:spacing w:val="-1"/>
        </w:rPr>
        <w:t xml:space="preserve"> bachelor’s degree and full licensure in the US</w:t>
      </w:r>
      <w:r w:rsidR="00A9733F">
        <w:rPr>
          <w:rFonts w:ascii="Calibri" w:hAnsi="Calibri"/>
          <w:spacing w:val="-1"/>
        </w:rPr>
        <w:t xml:space="preserve">. Contrary to the EU, whose power to negotiate quotas of immigrants is hitherto limited, the US have committed to a cap of </w:t>
      </w:r>
      <w:r w:rsidR="00516571" w:rsidRPr="001215B9">
        <w:rPr>
          <w:rFonts w:ascii="Calibri" w:hAnsi="Calibri"/>
          <w:spacing w:val="-1"/>
        </w:rPr>
        <w:t>65,000 annual</w:t>
      </w:r>
      <w:r w:rsidR="00A9733F">
        <w:rPr>
          <w:rFonts w:ascii="Calibri" w:hAnsi="Calibri"/>
          <w:spacing w:val="-1"/>
        </w:rPr>
        <w:t xml:space="preserve"> intakes in this category of speciality occupations, subject to</w:t>
      </w:r>
      <w:r w:rsidR="00E706E2">
        <w:rPr>
          <w:rFonts w:ascii="Calibri" w:hAnsi="Calibri"/>
          <w:spacing w:val="-1"/>
        </w:rPr>
        <w:t xml:space="preserve"> </w:t>
      </w:r>
      <w:r w:rsidR="009C476F">
        <w:rPr>
          <w:rFonts w:ascii="Calibri" w:hAnsi="Calibri"/>
          <w:spacing w:val="-1"/>
        </w:rPr>
        <w:t>wage parity</w:t>
      </w:r>
      <w:r w:rsidR="00DD4E91">
        <w:rPr>
          <w:rFonts w:ascii="Calibri" w:hAnsi="Calibri"/>
          <w:spacing w:val="-1"/>
        </w:rPr>
        <w:t xml:space="preserve"> conditions</w:t>
      </w:r>
      <w:r w:rsidR="001C316A" w:rsidRPr="001215B9">
        <w:rPr>
          <w:rFonts w:ascii="Calibri" w:hAnsi="Calibri"/>
          <w:spacing w:val="-1"/>
        </w:rPr>
        <w:t xml:space="preserve">. </w:t>
      </w:r>
      <w:r w:rsidR="009C476F">
        <w:rPr>
          <w:rFonts w:ascii="Calibri" w:hAnsi="Calibri"/>
          <w:spacing w:val="-1"/>
        </w:rPr>
        <w:t>The</w:t>
      </w:r>
      <w:r w:rsidR="00B83CBE" w:rsidRPr="001215B9">
        <w:rPr>
          <w:rFonts w:ascii="Calibri" w:hAnsi="Calibri"/>
          <w:spacing w:val="-1"/>
        </w:rPr>
        <w:t xml:space="preserve"> sector</w:t>
      </w:r>
      <w:r w:rsidR="004A7ABF">
        <w:rPr>
          <w:rFonts w:ascii="Calibri" w:hAnsi="Calibri"/>
          <w:spacing w:val="-1"/>
        </w:rPr>
        <w:t>-</w:t>
      </w:r>
      <w:r w:rsidR="00B83CBE" w:rsidRPr="001215B9">
        <w:rPr>
          <w:rFonts w:ascii="Calibri" w:hAnsi="Calibri"/>
          <w:spacing w:val="-1"/>
        </w:rPr>
        <w:t xml:space="preserve">specific </w:t>
      </w:r>
      <w:r w:rsidR="00874A37" w:rsidRPr="001215B9">
        <w:rPr>
          <w:rFonts w:ascii="Calibri" w:hAnsi="Calibri"/>
          <w:spacing w:val="-1"/>
        </w:rPr>
        <w:t>commitments set further</w:t>
      </w:r>
      <w:r w:rsidR="00E706E2">
        <w:rPr>
          <w:rFonts w:ascii="Calibri" w:hAnsi="Calibri"/>
          <w:spacing w:val="-1"/>
        </w:rPr>
        <w:t xml:space="preserve"> </w:t>
      </w:r>
      <w:r w:rsidR="00B83CBE" w:rsidRPr="001215B9">
        <w:rPr>
          <w:rFonts w:ascii="Calibri" w:hAnsi="Calibri"/>
          <w:spacing w:val="-1"/>
        </w:rPr>
        <w:t xml:space="preserve">residency and </w:t>
      </w:r>
      <w:r w:rsidR="00E706E2">
        <w:rPr>
          <w:rFonts w:ascii="Calibri" w:hAnsi="Calibri"/>
          <w:spacing w:val="-1"/>
        </w:rPr>
        <w:t xml:space="preserve">nationality </w:t>
      </w:r>
      <w:r w:rsidR="009C476F" w:rsidRPr="001215B9">
        <w:rPr>
          <w:rFonts w:ascii="Calibri" w:hAnsi="Calibri"/>
          <w:spacing w:val="-1"/>
        </w:rPr>
        <w:t>imitations</w:t>
      </w:r>
      <w:r w:rsidR="00B83CBE" w:rsidRPr="001215B9">
        <w:rPr>
          <w:rFonts w:ascii="Calibri" w:hAnsi="Calibri"/>
          <w:spacing w:val="-1"/>
        </w:rPr>
        <w:t xml:space="preserve">. </w:t>
      </w:r>
      <w:r w:rsidR="00FC6A18" w:rsidRPr="001215B9">
        <w:rPr>
          <w:rFonts w:ascii="Calibri" w:hAnsi="Calibri"/>
          <w:spacing w:val="-1"/>
        </w:rPr>
        <w:t>The US</w:t>
      </w:r>
      <w:r w:rsidR="009C476F">
        <w:rPr>
          <w:rFonts w:ascii="Calibri" w:hAnsi="Calibri"/>
          <w:spacing w:val="-1"/>
        </w:rPr>
        <w:t>’</w:t>
      </w:r>
      <w:r w:rsidR="00143FE3">
        <w:rPr>
          <w:rFonts w:ascii="Calibri" w:hAnsi="Calibri"/>
          <w:spacing w:val="-1"/>
        </w:rPr>
        <w:t xml:space="preserve"> </w:t>
      </w:r>
      <w:r w:rsidR="009C476F">
        <w:rPr>
          <w:rFonts w:ascii="Calibri" w:hAnsi="Calibri"/>
          <w:spacing w:val="-1"/>
        </w:rPr>
        <w:t xml:space="preserve">2005 </w:t>
      </w:r>
      <w:r w:rsidR="00FC6A18" w:rsidRPr="001215B9">
        <w:rPr>
          <w:rFonts w:ascii="Calibri" w:hAnsi="Calibri"/>
          <w:spacing w:val="-1"/>
        </w:rPr>
        <w:t xml:space="preserve">revised </w:t>
      </w:r>
      <w:r w:rsidR="003E3A5B">
        <w:rPr>
          <w:rFonts w:ascii="Calibri" w:hAnsi="Calibri"/>
          <w:spacing w:val="-1"/>
        </w:rPr>
        <w:t>s</w:t>
      </w:r>
      <w:r w:rsidR="00FC6A18" w:rsidRPr="001215B9">
        <w:rPr>
          <w:rFonts w:ascii="Calibri" w:hAnsi="Calibri"/>
          <w:spacing w:val="-1"/>
        </w:rPr>
        <w:t xml:space="preserve">ervices offer </w:t>
      </w:r>
      <w:r w:rsidR="009C476F">
        <w:rPr>
          <w:rFonts w:ascii="Calibri" w:hAnsi="Calibri"/>
          <w:spacing w:val="-1"/>
        </w:rPr>
        <w:t>did</w:t>
      </w:r>
      <w:r w:rsidR="00FC6A18" w:rsidRPr="001215B9">
        <w:rPr>
          <w:rFonts w:ascii="Calibri" w:hAnsi="Calibri"/>
          <w:spacing w:val="-1"/>
        </w:rPr>
        <w:t xml:space="preserve"> not touch upon </w:t>
      </w:r>
      <w:r w:rsidR="00FA172F" w:rsidRPr="001215B9">
        <w:rPr>
          <w:rFonts w:ascii="Calibri" w:hAnsi="Calibri"/>
          <w:spacing w:val="-1"/>
        </w:rPr>
        <w:t xml:space="preserve">initial </w:t>
      </w:r>
      <w:r w:rsidR="003E3A5B" w:rsidRPr="001215B9">
        <w:rPr>
          <w:rFonts w:ascii="Calibri" w:hAnsi="Calibri"/>
          <w:spacing w:val="-1"/>
        </w:rPr>
        <w:t>mode 4</w:t>
      </w:r>
      <w:r w:rsidR="00FA172F" w:rsidRPr="001215B9">
        <w:rPr>
          <w:rFonts w:ascii="Calibri" w:hAnsi="Calibri"/>
          <w:spacing w:val="-1"/>
        </w:rPr>
        <w:t xml:space="preserve"> provisions</w:t>
      </w:r>
      <w:r w:rsidR="00FC6A18" w:rsidRPr="001215B9">
        <w:rPr>
          <w:rFonts w:ascii="Calibri" w:hAnsi="Calibri"/>
          <w:spacing w:val="-1"/>
        </w:rPr>
        <w:t>.</w:t>
      </w:r>
    </w:p>
    <w:p w14:paraId="7D9D9DF4" w14:textId="77777777" w:rsidR="00493965" w:rsidRDefault="00493965" w:rsidP="001215B9">
      <w:pPr>
        <w:spacing w:after="120" w:line="360" w:lineRule="auto"/>
        <w:jc w:val="both"/>
        <w:rPr>
          <w:rFonts w:ascii="Calibri" w:hAnsi="Calibri"/>
          <w:spacing w:val="-1"/>
        </w:rPr>
      </w:pPr>
    </w:p>
    <w:p w14:paraId="453CE630" w14:textId="77777777" w:rsidR="00DC04AF" w:rsidRPr="001215B9" w:rsidRDefault="00DC04AF" w:rsidP="001215B9">
      <w:pPr>
        <w:spacing w:after="120" w:line="360" w:lineRule="auto"/>
        <w:jc w:val="both"/>
        <w:rPr>
          <w:rFonts w:ascii="Calibri" w:hAnsi="Calibri"/>
          <w:spacing w:val="-1"/>
        </w:rPr>
      </w:pPr>
      <w:r w:rsidRPr="001215B9">
        <w:rPr>
          <w:rFonts w:ascii="Calibri" w:hAnsi="Calibri"/>
          <w:spacing w:val="-1"/>
        </w:rPr>
        <w:t>India</w:t>
      </w:r>
    </w:p>
    <w:p w14:paraId="4C579BE6" w14:textId="2D84253A" w:rsidR="00DD190A" w:rsidRPr="001215B9" w:rsidRDefault="00C975E0" w:rsidP="001215B9">
      <w:pPr>
        <w:spacing w:after="120" w:line="360" w:lineRule="auto"/>
        <w:jc w:val="both"/>
        <w:rPr>
          <w:rFonts w:ascii="Calibri" w:hAnsi="Calibri"/>
          <w:spacing w:val="-1"/>
        </w:rPr>
      </w:pPr>
      <w:r w:rsidRPr="001215B9">
        <w:rPr>
          <w:rFonts w:ascii="Calibri" w:hAnsi="Calibri"/>
          <w:spacing w:val="-1"/>
        </w:rPr>
        <w:t xml:space="preserve">The leading country among developing states, </w:t>
      </w:r>
      <w:r w:rsidR="00EB466B" w:rsidRPr="001215B9">
        <w:rPr>
          <w:rFonts w:ascii="Calibri" w:hAnsi="Calibri"/>
          <w:spacing w:val="-1"/>
        </w:rPr>
        <w:t>pushing for</w:t>
      </w:r>
      <w:r w:rsidRPr="001215B9">
        <w:rPr>
          <w:rFonts w:ascii="Calibri" w:hAnsi="Calibri"/>
          <w:spacing w:val="-1"/>
        </w:rPr>
        <w:t xml:space="preserve"> more openings </w:t>
      </w:r>
      <w:r w:rsidR="00EB466B" w:rsidRPr="001215B9">
        <w:rPr>
          <w:rFonts w:ascii="Calibri" w:hAnsi="Calibri"/>
          <w:spacing w:val="-1"/>
        </w:rPr>
        <w:t>in</w:t>
      </w:r>
      <w:r w:rsidRPr="001215B9">
        <w:rPr>
          <w:rFonts w:ascii="Calibri" w:hAnsi="Calibri"/>
          <w:spacing w:val="-1"/>
        </w:rPr>
        <w:t xml:space="preserve"> mode 4,</w:t>
      </w:r>
      <w:r w:rsidR="00EB466B" w:rsidRPr="001215B9">
        <w:rPr>
          <w:rFonts w:ascii="Calibri" w:hAnsi="Calibri"/>
          <w:spacing w:val="-1"/>
        </w:rPr>
        <w:t xml:space="preserve"> has </w:t>
      </w:r>
      <w:r w:rsidR="005A7AE0" w:rsidRPr="001215B9">
        <w:rPr>
          <w:rFonts w:ascii="Calibri" w:hAnsi="Calibri"/>
          <w:spacing w:val="-1"/>
        </w:rPr>
        <w:t xml:space="preserve">initially </w:t>
      </w:r>
      <w:r w:rsidR="0030440D" w:rsidRPr="001215B9">
        <w:rPr>
          <w:rFonts w:ascii="Calibri" w:hAnsi="Calibri"/>
          <w:spacing w:val="-1"/>
        </w:rPr>
        <w:t xml:space="preserve">not exceeded </w:t>
      </w:r>
      <w:r w:rsidR="00A75383">
        <w:rPr>
          <w:rFonts w:ascii="Calibri" w:hAnsi="Calibri"/>
          <w:spacing w:val="-1"/>
        </w:rPr>
        <w:t xml:space="preserve">much </w:t>
      </w:r>
      <w:r w:rsidR="003F089A" w:rsidRPr="001215B9">
        <w:rPr>
          <w:rFonts w:ascii="Calibri" w:hAnsi="Calibri"/>
          <w:spacing w:val="-1"/>
        </w:rPr>
        <w:t xml:space="preserve">the mobility </w:t>
      </w:r>
      <w:r w:rsidR="00EB466B" w:rsidRPr="001215B9">
        <w:rPr>
          <w:rFonts w:ascii="Calibri" w:hAnsi="Calibri"/>
          <w:spacing w:val="-1"/>
        </w:rPr>
        <w:t xml:space="preserve">commitments </w:t>
      </w:r>
      <w:r w:rsidR="003F089A" w:rsidRPr="001215B9">
        <w:rPr>
          <w:rFonts w:ascii="Calibri" w:hAnsi="Calibri"/>
          <w:spacing w:val="-1"/>
        </w:rPr>
        <w:t>undertaken by developed states</w:t>
      </w:r>
      <w:r w:rsidR="004F79F7">
        <w:rPr>
          <w:rStyle w:val="Funotenzeichen"/>
          <w:rFonts w:ascii="Calibri" w:hAnsi="Calibri"/>
          <w:spacing w:val="-1"/>
        </w:rPr>
        <w:footnoteReference w:id="14"/>
      </w:r>
      <w:r w:rsidR="00A75383">
        <w:rPr>
          <w:rFonts w:ascii="Calibri" w:hAnsi="Calibri"/>
          <w:spacing w:val="-1"/>
        </w:rPr>
        <w:t>.</w:t>
      </w:r>
      <w:r w:rsidR="00E706E2">
        <w:rPr>
          <w:rFonts w:ascii="Calibri" w:hAnsi="Calibri"/>
          <w:spacing w:val="-1"/>
        </w:rPr>
        <w:t xml:space="preserve"> </w:t>
      </w:r>
      <w:r w:rsidR="00A75383">
        <w:rPr>
          <w:rFonts w:ascii="Calibri" w:hAnsi="Calibri"/>
          <w:spacing w:val="-1"/>
        </w:rPr>
        <w:t>T</w:t>
      </w:r>
      <w:r w:rsidR="0030440D" w:rsidRPr="001215B9">
        <w:rPr>
          <w:rFonts w:ascii="Calibri" w:hAnsi="Calibri"/>
          <w:spacing w:val="-1"/>
        </w:rPr>
        <w:t xml:space="preserve">he exception </w:t>
      </w:r>
      <w:r w:rsidR="00A75383">
        <w:rPr>
          <w:rFonts w:ascii="Calibri" w:hAnsi="Calibri"/>
          <w:spacing w:val="-1"/>
        </w:rPr>
        <w:t>was</w:t>
      </w:r>
      <w:r w:rsidR="00E706E2">
        <w:rPr>
          <w:rFonts w:ascii="Calibri" w:hAnsi="Calibri"/>
          <w:spacing w:val="-1"/>
        </w:rPr>
        <w:t xml:space="preserve"> </w:t>
      </w:r>
      <w:r w:rsidR="00A75383">
        <w:rPr>
          <w:rFonts w:ascii="Calibri" w:hAnsi="Calibri"/>
          <w:spacing w:val="-1"/>
        </w:rPr>
        <w:t>openings for</w:t>
      </w:r>
      <w:r w:rsidR="0030440D" w:rsidRPr="001215B9">
        <w:rPr>
          <w:rFonts w:ascii="Calibri" w:hAnsi="Calibri"/>
          <w:spacing w:val="-1"/>
        </w:rPr>
        <w:t xml:space="preserve"> professionals</w:t>
      </w:r>
      <w:r w:rsidR="00A75383">
        <w:rPr>
          <w:rFonts w:ascii="Calibri" w:hAnsi="Calibri"/>
          <w:spacing w:val="-1"/>
        </w:rPr>
        <w:t>,</w:t>
      </w:r>
      <w:r w:rsidR="0030440D" w:rsidRPr="001215B9">
        <w:rPr>
          <w:rFonts w:ascii="Calibri" w:hAnsi="Calibri"/>
          <w:spacing w:val="-1"/>
        </w:rPr>
        <w:t xml:space="preserve"> defined as natural person</w:t>
      </w:r>
      <w:r w:rsidR="00C40719" w:rsidRPr="001215B9">
        <w:rPr>
          <w:rFonts w:ascii="Calibri" w:hAnsi="Calibri"/>
          <w:spacing w:val="-1"/>
        </w:rPr>
        <w:t>s</w:t>
      </w:r>
      <w:r w:rsidR="0030440D" w:rsidRPr="001215B9">
        <w:rPr>
          <w:rFonts w:ascii="Calibri" w:hAnsi="Calibri"/>
          <w:spacing w:val="-1"/>
        </w:rPr>
        <w:t xml:space="preserve"> with the necessary academic credentials and professional qualifications</w:t>
      </w:r>
      <w:r w:rsidR="00A75383">
        <w:rPr>
          <w:rFonts w:ascii="Calibri" w:hAnsi="Calibri"/>
          <w:spacing w:val="-1"/>
        </w:rPr>
        <w:t xml:space="preserve">, </w:t>
      </w:r>
      <w:r w:rsidR="0030440D" w:rsidRPr="001215B9">
        <w:rPr>
          <w:rFonts w:ascii="Calibri" w:hAnsi="Calibri"/>
          <w:spacing w:val="-1"/>
        </w:rPr>
        <w:t>three years</w:t>
      </w:r>
      <w:r w:rsidR="00E706E2">
        <w:rPr>
          <w:rFonts w:ascii="Calibri" w:hAnsi="Calibri"/>
          <w:spacing w:val="-1"/>
        </w:rPr>
        <w:t xml:space="preserve"> </w:t>
      </w:r>
      <w:r w:rsidR="00A9733F">
        <w:rPr>
          <w:rFonts w:ascii="Calibri" w:hAnsi="Calibri"/>
          <w:spacing w:val="-1"/>
        </w:rPr>
        <w:t xml:space="preserve">work </w:t>
      </w:r>
      <w:r w:rsidR="0030440D" w:rsidRPr="001215B9">
        <w:rPr>
          <w:rFonts w:ascii="Calibri" w:hAnsi="Calibri"/>
          <w:spacing w:val="-1"/>
        </w:rPr>
        <w:t>experience</w:t>
      </w:r>
      <w:r w:rsidR="00A75383">
        <w:rPr>
          <w:rFonts w:ascii="Calibri" w:hAnsi="Calibri"/>
          <w:spacing w:val="-1"/>
        </w:rPr>
        <w:t xml:space="preserve">, and </w:t>
      </w:r>
      <w:r w:rsidR="0030440D" w:rsidRPr="001215B9">
        <w:rPr>
          <w:rFonts w:ascii="Calibri" w:hAnsi="Calibri"/>
          <w:spacing w:val="-1"/>
        </w:rPr>
        <w:t xml:space="preserve">engaged by a juridical person in India as part of a services contract </w:t>
      </w:r>
      <w:r w:rsidR="00A75383">
        <w:rPr>
          <w:rFonts w:ascii="Calibri" w:hAnsi="Calibri"/>
          <w:spacing w:val="-1"/>
        </w:rPr>
        <w:t>limited to</w:t>
      </w:r>
      <w:r w:rsidR="0030440D" w:rsidRPr="001215B9">
        <w:rPr>
          <w:rFonts w:ascii="Calibri" w:hAnsi="Calibri"/>
          <w:spacing w:val="-1"/>
        </w:rPr>
        <w:t xml:space="preserve"> 1 year</w:t>
      </w:r>
      <w:r w:rsidR="00FA0553">
        <w:rPr>
          <w:rFonts w:ascii="Calibri" w:hAnsi="Calibri"/>
          <w:spacing w:val="-1"/>
        </w:rPr>
        <w:t xml:space="preserve"> and 3 months</w:t>
      </w:r>
      <w:r w:rsidR="0030440D" w:rsidRPr="001215B9">
        <w:rPr>
          <w:rFonts w:ascii="Calibri" w:hAnsi="Calibri"/>
          <w:spacing w:val="-1"/>
        </w:rPr>
        <w:t xml:space="preserve">. </w:t>
      </w:r>
      <w:r w:rsidR="00901579" w:rsidRPr="001215B9">
        <w:rPr>
          <w:rFonts w:ascii="Calibri" w:hAnsi="Calibri"/>
          <w:spacing w:val="-1"/>
        </w:rPr>
        <w:t xml:space="preserve">India has </w:t>
      </w:r>
      <w:r w:rsidR="002B09B6">
        <w:rPr>
          <w:rFonts w:ascii="Calibri" w:hAnsi="Calibri"/>
          <w:spacing w:val="-1"/>
        </w:rPr>
        <w:t xml:space="preserve">also </w:t>
      </w:r>
      <w:r w:rsidR="00901579" w:rsidRPr="001215B9">
        <w:rPr>
          <w:rFonts w:ascii="Calibri" w:hAnsi="Calibri"/>
          <w:spacing w:val="-1"/>
        </w:rPr>
        <w:t xml:space="preserve">offered market access </w:t>
      </w:r>
      <w:r w:rsidR="004E4B5C" w:rsidRPr="001215B9">
        <w:rPr>
          <w:rFonts w:ascii="Calibri" w:hAnsi="Calibri"/>
          <w:spacing w:val="-1"/>
        </w:rPr>
        <w:t xml:space="preserve">for </w:t>
      </w:r>
      <w:r w:rsidR="00FA0553">
        <w:rPr>
          <w:rFonts w:ascii="Calibri" w:hAnsi="Calibri"/>
          <w:spacing w:val="-1"/>
        </w:rPr>
        <w:t>B</w:t>
      </w:r>
      <w:r w:rsidR="00A9733F">
        <w:rPr>
          <w:rFonts w:ascii="Calibri" w:hAnsi="Calibri"/>
          <w:spacing w:val="-1"/>
        </w:rPr>
        <w:t xml:space="preserve">usiness </w:t>
      </w:r>
      <w:r w:rsidR="00FA0553">
        <w:rPr>
          <w:rFonts w:ascii="Calibri" w:hAnsi="Calibri"/>
          <w:spacing w:val="-1"/>
        </w:rPr>
        <w:t>V</w:t>
      </w:r>
      <w:r w:rsidR="00A9733F">
        <w:rPr>
          <w:rFonts w:ascii="Calibri" w:hAnsi="Calibri"/>
          <w:spacing w:val="-1"/>
        </w:rPr>
        <w:t>isitor</w:t>
      </w:r>
      <w:r w:rsidR="00FA0553">
        <w:rPr>
          <w:rFonts w:ascii="Calibri" w:hAnsi="Calibri"/>
          <w:spacing w:val="-1"/>
        </w:rPr>
        <w:t>s</w:t>
      </w:r>
      <w:r w:rsidR="0000123B" w:rsidRPr="001215B9">
        <w:rPr>
          <w:rFonts w:ascii="Calibri" w:hAnsi="Calibri"/>
          <w:spacing w:val="-1"/>
        </w:rPr>
        <w:t xml:space="preserve"> (</w:t>
      </w:r>
      <w:r w:rsidR="00FA0553">
        <w:rPr>
          <w:rFonts w:ascii="Calibri" w:hAnsi="Calibri"/>
          <w:spacing w:val="-1"/>
        </w:rPr>
        <w:t>up</w:t>
      </w:r>
      <w:r w:rsidR="00DF304B" w:rsidRPr="001215B9">
        <w:rPr>
          <w:rFonts w:ascii="Calibri" w:hAnsi="Calibri"/>
          <w:spacing w:val="-1"/>
        </w:rPr>
        <w:t xml:space="preserve"> to 90 days) and</w:t>
      </w:r>
      <w:r w:rsidR="0000123B" w:rsidRPr="001215B9">
        <w:rPr>
          <w:rFonts w:ascii="Calibri" w:hAnsi="Calibri"/>
          <w:spacing w:val="-1"/>
        </w:rPr>
        <w:t xml:space="preserve"> ICTs </w:t>
      </w:r>
      <w:r w:rsidR="002B09B6">
        <w:rPr>
          <w:rFonts w:ascii="Calibri" w:hAnsi="Calibri"/>
          <w:spacing w:val="-1"/>
        </w:rPr>
        <w:t>(</w:t>
      </w:r>
      <w:r w:rsidR="0000123B" w:rsidRPr="001215B9">
        <w:rPr>
          <w:rFonts w:ascii="Calibri" w:hAnsi="Calibri"/>
          <w:spacing w:val="-1"/>
        </w:rPr>
        <w:t xml:space="preserve">managers, executives, specialists </w:t>
      </w:r>
      <w:r w:rsidR="0046050D">
        <w:rPr>
          <w:rFonts w:ascii="Calibri" w:hAnsi="Calibri"/>
          <w:spacing w:val="-1"/>
        </w:rPr>
        <w:t>with 1-year experience</w:t>
      </w:r>
      <w:r w:rsidR="00FA0553">
        <w:rPr>
          <w:rFonts w:ascii="Calibri" w:hAnsi="Calibri"/>
          <w:spacing w:val="-1"/>
        </w:rPr>
        <w:t>,</w:t>
      </w:r>
      <w:r w:rsidR="00E706E2">
        <w:rPr>
          <w:rFonts w:ascii="Calibri" w:hAnsi="Calibri"/>
          <w:spacing w:val="-1"/>
        </w:rPr>
        <w:t xml:space="preserve"> </w:t>
      </w:r>
      <w:r w:rsidR="0046050D">
        <w:rPr>
          <w:rFonts w:ascii="Calibri" w:hAnsi="Calibri"/>
          <w:spacing w:val="-1"/>
        </w:rPr>
        <w:t xml:space="preserve">allowed </w:t>
      </w:r>
      <w:r w:rsidR="00FA0553">
        <w:rPr>
          <w:rFonts w:ascii="Calibri" w:hAnsi="Calibri"/>
          <w:spacing w:val="-1"/>
        </w:rPr>
        <w:t>up to</w:t>
      </w:r>
      <w:r w:rsidR="0000123B" w:rsidRPr="001215B9">
        <w:rPr>
          <w:rFonts w:ascii="Calibri" w:hAnsi="Calibri"/>
          <w:spacing w:val="-1"/>
        </w:rPr>
        <w:t xml:space="preserve"> 5 years</w:t>
      </w:r>
      <w:r w:rsidR="002B09B6">
        <w:rPr>
          <w:rFonts w:ascii="Calibri" w:hAnsi="Calibri"/>
          <w:spacing w:val="-1"/>
        </w:rPr>
        <w:t>)</w:t>
      </w:r>
      <w:r w:rsidR="00DF304B" w:rsidRPr="001215B9">
        <w:rPr>
          <w:rFonts w:ascii="Calibri" w:hAnsi="Calibri"/>
          <w:spacing w:val="-1"/>
        </w:rPr>
        <w:t>.</w:t>
      </w:r>
    </w:p>
    <w:p w14:paraId="455ECACB" w14:textId="50D34120" w:rsidR="00C56E7E" w:rsidRPr="001215B9" w:rsidRDefault="00DD190A" w:rsidP="001215B9">
      <w:pPr>
        <w:spacing w:after="120" w:line="360" w:lineRule="auto"/>
        <w:jc w:val="both"/>
        <w:rPr>
          <w:rFonts w:ascii="Calibri" w:hAnsi="Calibri"/>
          <w:spacing w:val="-1"/>
        </w:rPr>
      </w:pPr>
      <w:r w:rsidRPr="001215B9">
        <w:rPr>
          <w:rFonts w:ascii="Calibri" w:hAnsi="Calibri"/>
          <w:spacing w:val="-1"/>
        </w:rPr>
        <w:t>In 2005, India has also submitted a revised offer</w:t>
      </w:r>
      <w:r w:rsidR="00F80954" w:rsidRPr="001215B9">
        <w:rPr>
          <w:rStyle w:val="Funotenzeichen"/>
          <w:rFonts w:ascii="Calibri" w:hAnsi="Calibri"/>
          <w:spacing w:val="-1"/>
        </w:rPr>
        <w:footnoteReference w:id="15"/>
      </w:r>
      <w:r w:rsidR="00D82044">
        <w:rPr>
          <w:rFonts w:ascii="Calibri" w:hAnsi="Calibri"/>
          <w:spacing w:val="-1"/>
        </w:rPr>
        <w:t xml:space="preserve"> </w:t>
      </w:r>
      <w:r w:rsidR="00900E9D">
        <w:rPr>
          <w:rFonts w:ascii="Calibri" w:hAnsi="Calibri"/>
          <w:spacing w:val="-1"/>
        </w:rPr>
        <w:t>that would</w:t>
      </w:r>
      <w:r w:rsidR="00B81B74">
        <w:rPr>
          <w:rFonts w:ascii="Calibri" w:hAnsi="Calibri"/>
          <w:spacing w:val="-1"/>
        </w:rPr>
        <w:t xml:space="preserve"> have </w:t>
      </w:r>
      <w:r w:rsidR="00900E9D">
        <w:rPr>
          <w:rFonts w:ascii="Calibri" w:hAnsi="Calibri"/>
          <w:spacing w:val="-1"/>
        </w:rPr>
        <w:t>included greater openings</w:t>
      </w:r>
      <w:r w:rsidR="00B81B74">
        <w:rPr>
          <w:rFonts w:ascii="Calibri" w:hAnsi="Calibri"/>
          <w:spacing w:val="-1"/>
        </w:rPr>
        <w:t xml:space="preserve"> for </w:t>
      </w:r>
      <w:r w:rsidR="003D0E1E" w:rsidRPr="001215B9">
        <w:rPr>
          <w:rFonts w:ascii="Calibri" w:hAnsi="Calibri"/>
          <w:spacing w:val="-1"/>
        </w:rPr>
        <w:t>CSSs and IPs. A</w:t>
      </w:r>
      <w:r w:rsidRPr="001215B9">
        <w:rPr>
          <w:rFonts w:ascii="Calibri" w:hAnsi="Calibri"/>
          <w:spacing w:val="-1"/>
        </w:rPr>
        <w:t>lthough</w:t>
      </w:r>
      <w:r w:rsidR="003D0E1E" w:rsidRPr="001215B9">
        <w:rPr>
          <w:rFonts w:ascii="Calibri" w:hAnsi="Calibri"/>
          <w:spacing w:val="-1"/>
        </w:rPr>
        <w:t>,</w:t>
      </w:r>
      <w:r w:rsidR="00D82044">
        <w:rPr>
          <w:rFonts w:ascii="Calibri" w:hAnsi="Calibri"/>
          <w:spacing w:val="-1"/>
        </w:rPr>
        <w:t xml:space="preserve"> </w:t>
      </w:r>
      <w:r w:rsidR="004263FB" w:rsidRPr="001215B9">
        <w:rPr>
          <w:rFonts w:ascii="Calibri" w:hAnsi="Calibri"/>
          <w:spacing w:val="-1"/>
        </w:rPr>
        <w:t xml:space="preserve">as in the case of </w:t>
      </w:r>
      <w:r w:rsidR="003D0E1E" w:rsidRPr="001215B9">
        <w:rPr>
          <w:rFonts w:ascii="Calibri" w:hAnsi="Calibri"/>
          <w:spacing w:val="-1"/>
        </w:rPr>
        <w:t xml:space="preserve">the </w:t>
      </w:r>
      <w:r w:rsidR="004263FB" w:rsidRPr="001215B9">
        <w:rPr>
          <w:rFonts w:ascii="Calibri" w:hAnsi="Calibri"/>
          <w:spacing w:val="-1"/>
        </w:rPr>
        <w:t>EU</w:t>
      </w:r>
      <w:r w:rsidR="003D0E1E" w:rsidRPr="001215B9">
        <w:rPr>
          <w:rFonts w:ascii="Calibri" w:hAnsi="Calibri"/>
          <w:spacing w:val="-1"/>
        </w:rPr>
        <w:t>,</w:t>
      </w:r>
      <w:r w:rsidR="00D82044">
        <w:rPr>
          <w:rFonts w:ascii="Calibri" w:hAnsi="Calibri"/>
          <w:spacing w:val="-1"/>
        </w:rPr>
        <w:t xml:space="preserve"> </w:t>
      </w:r>
      <w:r w:rsidRPr="001215B9">
        <w:rPr>
          <w:rFonts w:ascii="Calibri" w:hAnsi="Calibri"/>
          <w:spacing w:val="-1"/>
        </w:rPr>
        <w:t>these were to be limited to specific sectors</w:t>
      </w:r>
      <w:r w:rsidR="00B81B74">
        <w:rPr>
          <w:rStyle w:val="Funotenzeichen"/>
          <w:rFonts w:ascii="Calibri" w:hAnsi="Calibri"/>
          <w:spacing w:val="-1"/>
        </w:rPr>
        <w:footnoteReference w:id="16"/>
      </w:r>
      <w:r w:rsidR="009F50AA" w:rsidRPr="001215B9">
        <w:rPr>
          <w:rFonts w:ascii="Calibri" w:hAnsi="Calibri"/>
          <w:spacing w:val="-1"/>
        </w:rPr>
        <w:t xml:space="preserve">, sometimes </w:t>
      </w:r>
      <w:r w:rsidR="003D0E1E" w:rsidRPr="001215B9">
        <w:rPr>
          <w:rFonts w:ascii="Calibri" w:hAnsi="Calibri"/>
          <w:spacing w:val="-1"/>
        </w:rPr>
        <w:t>subject to</w:t>
      </w:r>
      <w:r w:rsidR="009F50AA" w:rsidRPr="001215B9">
        <w:rPr>
          <w:rFonts w:ascii="Calibri" w:hAnsi="Calibri"/>
          <w:spacing w:val="-1"/>
        </w:rPr>
        <w:t xml:space="preserve"> numerical quotas (e.g. tourist guides limited to a total ceiling of 500)</w:t>
      </w:r>
      <w:r w:rsidR="00D82044">
        <w:rPr>
          <w:rFonts w:ascii="Calibri" w:hAnsi="Calibri"/>
          <w:spacing w:val="-1"/>
        </w:rPr>
        <w:t xml:space="preserve"> </w:t>
      </w:r>
      <w:r w:rsidR="0030445C" w:rsidRPr="001215B9">
        <w:rPr>
          <w:rFonts w:ascii="Calibri" w:hAnsi="Calibri"/>
          <w:spacing w:val="-1"/>
        </w:rPr>
        <w:t>and short durations of stay (up to 1 year and 3 months)</w:t>
      </w:r>
      <w:r w:rsidR="00571D98" w:rsidRPr="001215B9">
        <w:rPr>
          <w:rFonts w:ascii="Calibri" w:hAnsi="Calibri"/>
          <w:spacing w:val="-1"/>
        </w:rPr>
        <w:t xml:space="preserve">, the revised offer </w:t>
      </w:r>
      <w:r w:rsidR="001D3CD3" w:rsidRPr="001215B9">
        <w:rPr>
          <w:rFonts w:ascii="Calibri" w:hAnsi="Calibri"/>
          <w:spacing w:val="-1"/>
        </w:rPr>
        <w:t xml:space="preserve">could </w:t>
      </w:r>
      <w:r w:rsidR="00571D98" w:rsidRPr="001215B9">
        <w:rPr>
          <w:rFonts w:ascii="Calibri" w:hAnsi="Calibri"/>
          <w:spacing w:val="-1"/>
        </w:rPr>
        <w:t xml:space="preserve">have </w:t>
      </w:r>
      <w:r w:rsidR="003D0E1E" w:rsidRPr="001215B9">
        <w:rPr>
          <w:rFonts w:ascii="Calibri" w:hAnsi="Calibri"/>
          <w:spacing w:val="-1"/>
        </w:rPr>
        <w:t>broadened</w:t>
      </w:r>
      <w:r w:rsidR="001D3CD3" w:rsidRPr="001215B9">
        <w:rPr>
          <w:rFonts w:ascii="Calibri" w:hAnsi="Calibri"/>
          <w:spacing w:val="-1"/>
        </w:rPr>
        <w:t xml:space="preserve"> the scope of mobility</w:t>
      </w:r>
      <w:r w:rsidR="003D0E1E" w:rsidRPr="001215B9">
        <w:rPr>
          <w:rFonts w:ascii="Calibri" w:hAnsi="Calibri"/>
          <w:spacing w:val="-1"/>
        </w:rPr>
        <w:t xml:space="preserve"> at the multilateral level</w:t>
      </w:r>
      <w:r w:rsidR="001D3CD3" w:rsidRPr="001215B9">
        <w:rPr>
          <w:rFonts w:ascii="Calibri" w:hAnsi="Calibri"/>
          <w:spacing w:val="-1"/>
        </w:rPr>
        <w:t>,</w:t>
      </w:r>
      <w:r w:rsidR="00D82044">
        <w:rPr>
          <w:rFonts w:ascii="Calibri" w:hAnsi="Calibri"/>
          <w:spacing w:val="-1"/>
        </w:rPr>
        <w:t xml:space="preserve"> </w:t>
      </w:r>
      <w:r w:rsidR="00C56E7E" w:rsidRPr="001215B9">
        <w:rPr>
          <w:rFonts w:ascii="Calibri" w:hAnsi="Calibri"/>
          <w:spacing w:val="-1"/>
        </w:rPr>
        <w:t>striving</w:t>
      </w:r>
      <w:r w:rsidR="00D82044">
        <w:rPr>
          <w:rFonts w:ascii="Calibri" w:hAnsi="Calibri"/>
          <w:spacing w:val="-1"/>
        </w:rPr>
        <w:t xml:space="preserve"> </w:t>
      </w:r>
      <w:r w:rsidR="003D0E1E" w:rsidRPr="001215B9">
        <w:rPr>
          <w:rFonts w:ascii="Calibri" w:hAnsi="Calibri"/>
          <w:spacing w:val="-1"/>
        </w:rPr>
        <w:t xml:space="preserve">to achieve </w:t>
      </w:r>
      <w:r w:rsidR="001D3CD3" w:rsidRPr="001215B9">
        <w:rPr>
          <w:rFonts w:ascii="Calibri" w:hAnsi="Calibri"/>
          <w:spacing w:val="-1"/>
        </w:rPr>
        <w:t>more openings for</w:t>
      </w:r>
      <w:r w:rsidR="00571D98" w:rsidRPr="001215B9">
        <w:rPr>
          <w:rFonts w:ascii="Calibri" w:hAnsi="Calibri"/>
          <w:spacing w:val="-1"/>
        </w:rPr>
        <w:t xml:space="preserve"> service providers detached from commercial presence</w:t>
      </w:r>
      <w:r w:rsidR="001D3CD3" w:rsidRPr="001215B9">
        <w:rPr>
          <w:rFonts w:ascii="Calibri" w:hAnsi="Calibri"/>
          <w:spacing w:val="-1"/>
        </w:rPr>
        <w:t xml:space="preserve">. </w:t>
      </w:r>
    </w:p>
    <w:p w14:paraId="6096A915" w14:textId="77777777" w:rsidR="00D5080C" w:rsidRDefault="00D02C6A" w:rsidP="001215B9">
      <w:pPr>
        <w:spacing w:after="120" w:line="360" w:lineRule="auto"/>
        <w:jc w:val="both"/>
        <w:rPr>
          <w:rFonts w:ascii="Calibri" w:hAnsi="Calibri"/>
          <w:spacing w:val="-1"/>
        </w:rPr>
      </w:pPr>
      <w:r w:rsidRPr="001215B9">
        <w:rPr>
          <w:rFonts w:ascii="Calibri" w:hAnsi="Calibri"/>
          <w:spacing w:val="-1"/>
        </w:rPr>
        <w:t xml:space="preserve">Table 2 below summarizes these GATS </w:t>
      </w:r>
      <w:r w:rsidR="008A6CEC">
        <w:rPr>
          <w:rFonts w:ascii="Calibri" w:hAnsi="Calibri"/>
          <w:spacing w:val="-1"/>
        </w:rPr>
        <w:t xml:space="preserve">mode </w:t>
      </w:r>
      <w:r w:rsidRPr="001215B9">
        <w:rPr>
          <w:rFonts w:ascii="Calibri" w:hAnsi="Calibri"/>
          <w:spacing w:val="-1"/>
        </w:rPr>
        <w:t>4 commitments undertaken by the cases analysed.</w:t>
      </w:r>
    </w:p>
    <w:p w14:paraId="0EE17495" w14:textId="77777777" w:rsidR="00832195" w:rsidRDefault="00832195" w:rsidP="001215B9">
      <w:pPr>
        <w:spacing w:after="120" w:line="360" w:lineRule="auto"/>
        <w:jc w:val="both"/>
        <w:rPr>
          <w:rFonts w:ascii="Calibri" w:hAnsi="Calibri"/>
          <w:spacing w:val="-1"/>
        </w:rPr>
      </w:pPr>
    </w:p>
    <w:p w14:paraId="7A422575" w14:textId="77777777" w:rsidR="00832195" w:rsidRPr="001215B9" w:rsidRDefault="00832195" w:rsidP="001215B9">
      <w:pPr>
        <w:spacing w:after="120" w:line="360" w:lineRule="auto"/>
        <w:jc w:val="both"/>
        <w:rPr>
          <w:rFonts w:ascii="Calibri" w:hAnsi="Calibri"/>
          <w:spacing w:val="-1"/>
        </w:rPr>
        <w:sectPr w:rsidR="00832195" w:rsidRPr="001215B9" w:rsidSect="0032445B">
          <w:footerReference w:type="even" r:id="rId9"/>
          <w:footerReference w:type="default" r:id="rId10"/>
          <w:pgSz w:w="11906" w:h="16838"/>
          <w:pgMar w:top="1247" w:right="1247" w:bottom="1247" w:left="1247" w:header="709" w:footer="709" w:gutter="0"/>
          <w:cols w:space="708"/>
          <w:docGrid w:linePitch="360"/>
        </w:sectPr>
      </w:pPr>
    </w:p>
    <w:tbl>
      <w:tblPr>
        <w:tblpPr w:leftFromText="180" w:rightFromText="180" w:vertAnchor="page" w:horzAnchor="margin" w:tblpXSpec="center" w:tblpY="1498"/>
        <w:tblOverlap w:val="neve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701"/>
        <w:gridCol w:w="5001"/>
        <w:gridCol w:w="3261"/>
      </w:tblGrid>
      <w:tr w:rsidR="00615361" w:rsidRPr="0080472A" w14:paraId="724278E9" w14:textId="77777777" w:rsidTr="0045359F">
        <w:trPr>
          <w:trHeight w:val="355"/>
        </w:trPr>
        <w:tc>
          <w:tcPr>
            <w:tcW w:w="1911" w:type="dxa"/>
            <w:shd w:val="clear" w:color="auto" w:fill="auto"/>
            <w:vAlign w:val="bottom"/>
            <w:hideMark/>
          </w:tcPr>
          <w:p w14:paraId="56A3F596"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lastRenderedPageBreak/>
              <w:t xml:space="preserve">Categories </w:t>
            </w:r>
          </w:p>
        </w:tc>
        <w:tc>
          <w:tcPr>
            <w:tcW w:w="1701" w:type="dxa"/>
            <w:shd w:val="clear" w:color="auto" w:fill="auto"/>
            <w:noWrap/>
            <w:vAlign w:val="bottom"/>
            <w:hideMark/>
          </w:tcPr>
          <w:p w14:paraId="6B114D89"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US commitments</w:t>
            </w:r>
          </w:p>
        </w:tc>
        <w:tc>
          <w:tcPr>
            <w:tcW w:w="5001" w:type="dxa"/>
            <w:shd w:val="clear" w:color="auto" w:fill="auto"/>
            <w:noWrap/>
            <w:vAlign w:val="bottom"/>
            <w:hideMark/>
          </w:tcPr>
          <w:p w14:paraId="11D87D01"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EU commitments</w:t>
            </w:r>
          </w:p>
        </w:tc>
        <w:tc>
          <w:tcPr>
            <w:tcW w:w="3261" w:type="dxa"/>
            <w:shd w:val="clear" w:color="auto" w:fill="auto"/>
            <w:noWrap/>
            <w:vAlign w:val="bottom"/>
            <w:hideMark/>
          </w:tcPr>
          <w:p w14:paraId="39404922"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India commitments</w:t>
            </w:r>
          </w:p>
        </w:tc>
      </w:tr>
      <w:tr w:rsidR="00615361" w:rsidRPr="0080472A" w14:paraId="3145BAA7" w14:textId="77777777" w:rsidTr="0045359F">
        <w:trPr>
          <w:trHeight w:val="1326"/>
        </w:trPr>
        <w:tc>
          <w:tcPr>
            <w:tcW w:w="1911" w:type="dxa"/>
            <w:shd w:val="clear" w:color="auto" w:fill="auto"/>
            <w:vAlign w:val="bottom"/>
            <w:hideMark/>
          </w:tcPr>
          <w:p w14:paraId="7B25817F"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BVs</w:t>
            </w:r>
          </w:p>
        </w:tc>
        <w:tc>
          <w:tcPr>
            <w:tcW w:w="1701" w:type="dxa"/>
            <w:shd w:val="clear" w:color="auto" w:fill="auto"/>
            <w:noWrap/>
            <w:vAlign w:val="bottom"/>
            <w:hideMark/>
          </w:tcPr>
          <w:p w14:paraId="68E5D2E8"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Services Salespersons, up to 90 days</w:t>
            </w:r>
          </w:p>
          <w:p w14:paraId="53D8EC2A"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Personnel Engaged in Establishment</w:t>
            </w:r>
          </w:p>
        </w:tc>
        <w:tc>
          <w:tcPr>
            <w:tcW w:w="5001" w:type="dxa"/>
            <w:shd w:val="clear" w:color="auto" w:fill="auto"/>
            <w:vAlign w:val="bottom"/>
            <w:hideMark/>
          </w:tcPr>
          <w:p w14:paraId="43E8F7F3"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Representatives of a service supplier seeking temporary entry for the purpose of negotiating for the sale of services or entering into agreements to sell services for that service provider</w:t>
            </w:r>
          </w:p>
          <w:p w14:paraId="5B7D064F"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Persons working in a senior position responsible for the setting up of an establishment</w:t>
            </w:r>
          </w:p>
          <w:p w14:paraId="6667E727"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w:t>
            </w:r>
            <w:r w:rsidRPr="0080472A">
              <w:rPr>
                <w:rFonts w:ascii="Arial Narrow" w:eastAsia="Times New Roman" w:hAnsi="Arial Narrow" w:cs="Times New Roman"/>
                <w:color w:val="000000"/>
                <w:sz w:val="18"/>
                <w:szCs w:val="18"/>
              </w:rPr>
              <w:t>temporary stay defined by EU MSs</w:t>
            </w:r>
            <w:r>
              <w:rPr>
                <w:rFonts w:ascii="Arial Narrow" w:eastAsia="Times New Roman" w:hAnsi="Arial Narrow" w:cs="Times New Roman"/>
                <w:color w:val="000000"/>
                <w:sz w:val="18"/>
                <w:szCs w:val="18"/>
              </w:rPr>
              <w:t>)</w:t>
            </w:r>
          </w:p>
        </w:tc>
        <w:tc>
          <w:tcPr>
            <w:tcW w:w="3261" w:type="dxa"/>
            <w:shd w:val="clear" w:color="auto" w:fill="auto"/>
            <w:vAlign w:val="bottom"/>
            <w:hideMark/>
          </w:tcPr>
          <w:p w14:paraId="3B1BB6EF"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 xml:space="preserve">Up to 90 days </w:t>
            </w:r>
          </w:p>
        </w:tc>
      </w:tr>
      <w:tr w:rsidR="00615361" w:rsidRPr="0080472A" w14:paraId="2825A89A" w14:textId="77777777" w:rsidTr="0045359F">
        <w:trPr>
          <w:trHeight w:val="991"/>
        </w:trPr>
        <w:tc>
          <w:tcPr>
            <w:tcW w:w="1911" w:type="dxa"/>
            <w:shd w:val="clear" w:color="auto" w:fill="auto"/>
            <w:vAlign w:val="bottom"/>
            <w:hideMark/>
          </w:tcPr>
          <w:p w14:paraId="5B166B9D"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ICTs</w:t>
            </w:r>
            <w:r w:rsidRPr="0080472A">
              <w:rPr>
                <w:rFonts w:ascii="Arial Narrow" w:eastAsia="Times New Roman" w:hAnsi="Arial Narrow" w:cs="Times New Roman"/>
                <w:b/>
                <w:bCs/>
                <w:color w:val="000000"/>
                <w:sz w:val="18"/>
                <w:szCs w:val="18"/>
              </w:rPr>
              <w:t xml:space="preserve"> (managers, executives, specialists)</w:t>
            </w:r>
          </w:p>
        </w:tc>
        <w:tc>
          <w:tcPr>
            <w:tcW w:w="1701" w:type="dxa"/>
            <w:shd w:val="clear" w:color="auto" w:fill="auto"/>
            <w:vAlign w:val="bottom"/>
            <w:hideMark/>
          </w:tcPr>
          <w:p w14:paraId="062B42CD"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3 up to 5 years</w:t>
            </w:r>
          </w:p>
        </w:tc>
        <w:tc>
          <w:tcPr>
            <w:tcW w:w="5001" w:type="dxa"/>
            <w:shd w:val="clear" w:color="auto" w:fill="auto"/>
            <w:vAlign w:val="bottom"/>
            <w:hideMark/>
          </w:tcPr>
          <w:p w14:paraId="44AE6101"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 xml:space="preserve">Persons working in a senior position within a juridical person, who primarily direct the management of the establishment </w:t>
            </w:r>
          </w:p>
          <w:p w14:paraId="70CC357B"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Persons working within a juridical person who possess uncommon knowledge essential to the establishment's service, research equipment, techniques or management</w:t>
            </w:r>
          </w:p>
          <w:p w14:paraId="652CB2E2"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w:t>
            </w:r>
            <w:r w:rsidRPr="0080472A">
              <w:rPr>
                <w:rFonts w:ascii="Arial Narrow" w:eastAsia="Times New Roman" w:hAnsi="Arial Narrow" w:cs="Times New Roman"/>
                <w:color w:val="000000"/>
                <w:sz w:val="18"/>
                <w:szCs w:val="18"/>
              </w:rPr>
              <w:t>temporary stay defined by EU MSs</w:t>
            </w:r>
            <w:r>
              <w:rPr>
                <w:rFonts w:ascii="Arial Narrow" w:eastAsia="Times New Roman" w:hAnsi="Arial Narrow" w:cs="Times New Roman"/>
                <w:color w:val="000000"/>
                <w:sz w:val="18"/>
                <w:szCs w:val="18"/>
              </w:rPr>
              <w:t>)</w:t>
            </w:r>
          </w:p>
        </w:tc>
        <w:tc>
          <w:tcPr>
            <w:tcW w:w="3261" w:type="dxa"/>
            <w:shd w:val="clear" w:color="auto" w:fill="auto"/>
            <w:vAlign w:val="bottom"/>
            <w:hideMark/>
          </w:tcPr>
          <w:p w14:paraId="7ED76409"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Up to 5 years</w:t>
            </w:r>
          </w:p>
        </w:tc>
      </w:tr>
      <w:tr w:rsidR="00615361" w:rsidRPr="0080472A" w14:paraId="002DFBB8" w14:textId="77777777" w:rsidTr="0045359F">
        <w:trPr>
          <w:trHeight w:val="253"/>
        </w:trPr>
        <w:tc>
          <w:tcPr>
            <w:tcW w:w="1911" w:type="dxa"/>
            <w:shd w:val="clear" w:color="auto" w:fill="auto"/>
            <w:vAlign w:val="bottom"/>
            <w:hideMark/>
          </w:tcPr>
          <w:p w14:paraId="47C1F52F"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CSSs</w:t>
            </w:r>
          </w:p>
        </w:tc>
        <w:tc>
          <w:tcPr>
            <w:tcW w:w="1701" w:type="dxa"/>
            <w:shd w:val="clear" w:color="auto" w:fill="auto"/>
            <w:noWrap/>
            <w:vAlign w:val="bottom"/>
            <w:hideMark/>
          </w:tcPr>
          <w:p w14:paraId="76E7F2B9"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 </w:t>
            </w:r>
          </w:p>
        </w:tc>
        <w:tc>
          <w:tcPr>
            <w:tcW w:w="5001" w:type="dxa"/>
            <w:shd w:val="clear" w:color="auto" w:fill="auto"/>
            <w:vAlign w:val="bottom"/>
            <w:hideMark/>
          </w:tcPr>
          <w:p w14:paraId="3B579D91"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c>
          <w:tcPr>
            <w:tcW w:w="3261" w:type="dxa"/>
            <w:shd w:val="clear" w:color="auto" w:fill="auto"/>
            <w:vAlign w:val="bottom"/>
            <w:hideMark/>
          </w:tcPr>
          <w:p w14:paraId="2B448EFB" w14:textId="5566917F"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Natural persons in the field of physical sciences, engineering or other natural sciences</w:t>
            </w:r>
            <w:r w:rsidR="00484641">
              <w:rPr>
                <w:rFonts w:ascii="Arial Narrow" w:eastAsia="Times New Roman" w:hAnsi="Arial Narrow" w:cs="Times New Roman"/>
                <w:color w:val="000000"/>
                <w:sz w:val="18"/>
                <w:szCs w:val="18"/>
              </w:rPr>
              <w:t>, up to 1 year</w:t>
            </w:r>
          </w:p>
        </w:tc>
      </w:tr>
      <w:tr w:rsidR="00615361" w:rsidRPr="0080472A" w14:paraId="1A2B772E" w14:textId="77777777" w:rsidTr="0045359F">
        <w:trPr>
          <w:trHeight w:val="63"/>
        </w:trPr>
        <w:tc>
          <w:tcPr>
            <w:tcW w:w="1911" w:type="dxa"/>
            <w:shd w:val="clear" w:color="auto" w:fill="auto"/>
            <w:vAlign w:val="bottom"/>
            <w:hideMark/>
          </w:tcPr>
          <w:p w14:paraId="7F1E6EB9"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IPs</w:t>
            </w:r>
          </w:p>
        </w:tc>
        <w:tc>
          <w:tcPr>
            <w:tcW w:w="1701" w:type="dxa"/>
            <w:shd w:val="clear" w:color="auto" w:fill="auto"/>
            <w:noWrap/>
            <w:vAlign w:val="bottom"/>
            <w:hideMark/>
          </w:tcPr>
          <w:p w14:paraId="4D8AA7D8"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c>
          <w:tcPr>
            <w:tcW w:w="5001" w:type="dxa"/>
            <w:shd w:val="clear" w:color="auto" w:fill="auto"/>
            <w:vAlign w:val="bottom"/>
            <w:hideMark/>
          </w:tcPr>
          <w:p w14:paraId="5B55DC43"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c>
          <w:tcPr>
            <w:tcW w:w="3261" w:type="dxa"/>
            <w:shd w:val="clear" w:color="auto" w:fill="auto"/>
            <w:vAlign w:val="bottom"/>
            <w:hideMark/>
          </w:tcPr>
          <w:p w14:paraId="07EFEB88"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r>
      <w:tr w:rsidR="00615361" w:rsidRPr="0080472A" w14:paraId="17DFB531" w14:textId="77777777" w:rsidTr="0045359F">
        <w:trPr>
          <w:trHeight w:val="553"/>
        </w:trPr>
        <w:tc>
          <w:tcPr>
            <w:tcW w:w="1911" w:type="dxa"/>
            <w:shd w:val="clear" w:color="auto" w:fill="auto"/>
            <w:vAlign w:val="bottom"/>
          </w:tcPr>
          <w:p w14:paraId="1087F116"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Others</w:t>
            </w:r>
          </w:p>
        </w:tc>
        <w:tc>
          <w:tcPr>
            <w:tcW w:w="1701" w:type="dxa"/>
            <w:shd w:val="clear" w:color="auto" w:fill="auto"/>
            <w:noWrap/>
            <w:vAlign w:val="bottom"/>
          </w:tcPr>
          <w:p w14:paraId="4A389682"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Fashion Models and Specialty Occupations, up to 3 years</w:t>
            </w:r>
          </w:p>
        </w:tc>
        <w:tc>
          <w:tcPr>
            <w:tcW w:w="5001" w:type="dxa"/>
            <w:shd w:val="clear" w:color="auto" w:fill="auto"/>
            <w:vAlign w:val="bottom"/>
          </w:tcPr>
          <w:p w14:paraId="77F2D7EF"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c>
          <w:tcPr>
            <w:tcW w:w="3261" w:type="dxa"/>
            <w:shd w:val="clear" w:color="auto" w:fill="auto"/>
            <w:noWrap/>
            <w:vAlign w:val="bottom"/>
          </w:tcPr>
          <w:p w14:paraId="3A52DC71"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p>
        </w:tc>
      </w:tr>
      <w:tr w:rsidR="00615361" w:rsidRPr="0080472A" w14:paraId="2725519A" w14:textId="77777777" w:rsidTr="0045359F">
        <w:trPr>
          <w:trHeight w:val="451"/>
        </w:trPr>
        <w:tc>
          <w:tcPr>
            <w:tcW w:w="1911" w:type="dxa"/>
            <w:shd w:val="clear" w:color="auto" w:fill="auto"/>
            <w:vAlign w:val="bottom"/>
          </w:tcPr>
          <w:p w14:paraId="7C36DFFB" w14:textId="032EF7A8" w:rsidR="00615361" w:rsidRPr="0080472A" w:rsidRDefault="00AA70CF" w:rsidP="00615361">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Q</w:t>
            </w:r>
            <w:r w:rsidR="00615361" w:rsidRPr="0080472A">
              <w:rPr>
                <w:rFonts w:ascii="Arial Narrow" w:eastAsia="Times New Roman" w:hAnsi="Arial Narrow" w:cs="Times New Roman"/>
                <w:b/>
                <w:bCs/>
                <w:color w:val="000000"/>
                <w:sz w:val="18"/>
                <w:szCs w:val="18"/>
              </w:rPr>
              <w:t>ualifications</w:t>
            </w:r>
            <w:r>
              <w:rPr>
                <w:rFonts w:ascii="Arial Narrow" w:eastAsia="Times New Roman" w:hAnsi="Arial Narrow" w:cs="Times New Roman"/>
                <w:b/>
                <w:bCs/>
                <w:color w:val="000000"/>
                <w:sz w:val="18"/>
                <w:szCs w:val="18"/>
              </w:rPr>
              <w:t xml:space="preserve"> requirements</w:t>
            </w:r>
          </w:p>
        </w:tc>
        <w:tc>
          <w:tcPr>
            <w:tcW w:w="1701" w:type="dxa"/>
            <w:shd w:val="clear" w:color="auto" w:fill="auto"/>
            <w:vAlign w:val="bottom"/>
          </w:tcPr>
          <w:p w14:paraId="603B8F73"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Qualifications and/or professional experience is required in various sectors</w:t>
            </w:r>
          </w:p>
        </w:tc>
        <w:tc>
          <w:tcPr>
            <w:tcW w:w="5001" w:type="dxa"/>
            <w:shd w:val="clear" w:color="auto" w:fill="auto"/>
            <w:vAlign w:val="bottom"/>
          </w:tcPr>
          <w:p w14:paraId="67FB24F0"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Qualifications and/or professional experience is required in various sectors</w:t>
            </w:r>
          </w:p>
        </w:tc>
        <w:tc>
          <w:tcPr>
            <w:tcW w:w="3261" w:type="dxa"/>
            <w:shd w:val="clear" w:color="auto" w:fill="auto"/>
            <w:vAlign w:val="bottom"/>
          </w:tcPr>
          <w:p w14:paraId="28C4F630" w14:textId="580037CF" w:rsidR="00615361" w:rsidRPr="0080472A" w:rsidRDefault="009617DA" w:rsidP="00615361">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w:t>
            </w:r>
            <w:r w:rsidR="00615361" w:rsidRPr="0080472A">
              <w:rPr>
                <w:rFonts w:ascii="Arial Narrow" w:eastAsia="Times New Roman" w:hAnsi="Arial Narrow" w:cs="Times New Roman"/>
                <w:color w:val="000000"/>
                <w:sz w:val="18"/>
                <w:szCs w:val="18"/>
              </w:rPr>
              <w:t>ecessary academic credentials and professional qualifications; various years experience</w:t>
            </w:r>
          </w:p>
        </w:tc>
      </w:tr>
      <w:tr w:rsidR="00615361" w:rsidRPr="0080472A" w14:paraId="4B5604C3" w14:textId="77777777" w:rsidTr="0045359F">
        <w:trPr>
          <w:trHeight w:val="75"/>
        </w:trPr>
        <w:tc>
          <w:tcPr>
            <w:tcW w:w="1911" w:type="dxa"/>
            <w:shd w:val="clear" w:color="auto" w:fill="auto"/>
            <w:noWrap/>
            <w:vAlign w:val="bottom"/>
          </w:tcPr>
          <w:p w14:paraId="5DB84355"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Social rights</w:t>
            </w:r>
          </w:p>
        </w:tc>
        <w:tc>
          <w:tcPr>
            <w:tcW w:w="1701" w:type="dxa"/>
            <w:shd w:val="clear" w:color="auto" w:fill="auto"/>
            <w:noWrap/>
            <w:vAlign w:val="bottom"/>
          </w:tcPr>
          <w:p w14:paraId="00FBEB2D"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 xml:space="preserve">No </w:t>
            </w:r>
          </w:p>
        </w:tc>
        <w:tc>
          <w:tcPr>
            <w:tcW w:w="5001" w:type="dxa"/>
            <w:shd w:val="clear" w:color="auto" w:fill="auto"/>
            <w:vAlign w:val="bottom"/>
          </w:tcPr>
          <w:p w14:paraId="5B79C1E9"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 xml:space="preserve">No </w:t>
            </w:r>
          </w:p>
        </w:tc>
        <w:tc>
          <w:tcPr>
            <w:tcW w:w="3261" w:type="dxa"/>
            <w:shd w:val="clear" w:color="auto" w:fill="auto"/>
            <w:vAlign w:val="bottom"/>
          </w:tcPr>
          <w:p w14:paraId="6910FA0F"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No</w:t>
            </w:r>
          </w:p>
        </w:tc>
      </w:tr>
      <w:tr w:rsidR="00615361" w:rsidRPr="0080472A" w14:paraId="12CDFCB5" w14:textId="77777777" w:rsidTr="0045359F">
        <w:trPr>
          <w:trHeight w:val="554"/>
        </w:trPr>
        <w:tc>
          <w:tcPr>
            <w:tcW w:w="1911" w:type="dxa"/>
            <w:shd w:val="clear" w:color="auto" w:fill="auto"/>
            <w:vAlign w:val="bottom"/>
          </w:tcPr>
          <w:p w14:paraId="3E019B96"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Visa/immigration requirements/other regulations</w:t>
            </w:r>
          </w:p>
        </w:tc>
        <w:tc>
          <w:tcPr>
            <w:tcW w:w="1701" w:type="dxa"/>
            <w:shd w:val="clear" w:color="auto" w:fill="auto"/>
            <w:vAlign w:val="bottom"/>
          </w:tcPr>
          <w:p w14:paraId="5EBA8ECD"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Yes</w:t>
            </w:r>
          </w:p>
        </w:tc>
        <w:tc>
          <w:tcPr>
            <w:tcW w:w="5001" w:type="dxa"/>
            <w:shd w:val="clear" w:color="auto" w:fill="auto"/>
            <w:vAlign w:val="bottom"/>
          </w:tcPr>
          <w:p w14:paraId="360528FD"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Yes</w:t>
            </w:r>
            <w:r>
              <w:rPr>
                <w:rFonts w:ascii="Arial Narrow" w:eastAsia="Times New Roman" w:hAnsi="Arial Narrow" w:cs="Times New Roman"/>
                <w:color w:val="000000"/>
                <w:sz w:val="18"/>
                <w:szCs w:val="18"/>
              </w:rPr>
              <w:t>,</w:t>
            </w:r>
            <w:r w:rsidRPr="0080472A">
              <w:rPr>
                <w:rFonts w:ascii="Arial Narrow" w:eastAsia="Times New Roman" w:hAnsi="Arial Narrow" w:cs="Times New Roman"/>
                <w:color w:val="000000"/>
                <w:sz w:val="18"/>
                <w:szCs w:val="18"/>
              </w:rPr>
              <w:t xml:space="preserve"> laws and regulations regarding entry, stay, work and social security measures, period of stay, minimum wages as well as collective wage agreements</w:t>
            </w:r>
          </w:p>
        </w:tc>
        <w:tc>
          <w:tcPr>
            <w:tcW w:w="3261" w:type="dxa"/>
            <w:shd w:val="clear" w:color="auto" w:fill="auto"/>
            <w:vAlign w:val="bottom"/>
          </w:tcPr>
          <w:p w14:paraId="7F023591"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Yes</w:t>
            </w:r>
          </w:p>
        </w:tc>
      </w:tr>
      <w:tr w:rsidR="00615361" w:rsidRPr="0080472A" w14:paraId="089BEF05" w14:textId="77777777" w:rsidTr="0045359F">
        <w:trPr>
          <w:trHeight w:val="502"/>
        </w:trPr>
        <w:tc>
          <w:tcPr>
            <w:tcW w:w="1911" w:type="dxa"/>
            <w:shd w:val="clear" w:color="auto" w:fill="auto"/>
            <w:vAlign w:val="bottom"/>
          </w:tcPr>
          <w:p w14:paraId="03645724" w14:textId="77777777" w:rsidR="00615361" w:rsidRPr="0080472A" w:rsidRDefault="00615361" w:rsidP="00615361">
            <w:pPr>
              <w:spacing w:after="0" w:line="240" w:lineRule="auto"/>
              <w:rPr>
                <w:rFonts w:ascii="Arial Narrow" w:eastAsia="Times New Roman" w:hAnsi="Arial Narrow" w:cs="Times New Roman"/>
                <w:b/>
                <w:bCs/>
                <w:color w:val="000000"/>
                <w:sz w:val="18"/>
                <w:szCs w:val="18"/>
              </w:rPr>
            </w:pPr>
            <w:r w:rsidRPr="0080472A">
              <w:rPr>
                <w:rFonts w:ascii="Arial Narrow" w:eastAsia="Times New Roman" w:hAnsi="Arial Narrow" w:cs="Times New Roman"/>
                <w:b/>
                <w:bCs/>
                <w:color w:val="000000"/>
                <w:sz w:val="18"/>
                <w:szCs w:val="18"/>
              </w:rPr>
              <w:t>Numerical quotas/ENTs</w:t>
            </w:r>
          </w:p>
        </w:tc>
        <w:tc>
          <w:tcPr>
            <w:tcW w:w="1701" w:type="dxa"/>
            <w:shd w:val="clear" w:color="auto" w:fill="auto"/>
            <w:vAlign w:val="bottom"/>
          </w:tcPr>
          <w:p w14:paraId="3B6FBA13"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Yes</w:t>
            </w:r>
            <w:r>
              <w:rPr>
                <w:rFonts w:ascii="Arial Narrow" w:eastAsia="Times New Roman" w:hAnsi="Arial Narrow" w:cs="Times New Roman"/>
                <w:color w:val="000000"/>
                <w:sz w:val="18"/>
                <w:szCs w:val="18"/>
              </w:rPr>
              <w:t xml:space="preserve">: </w:t>
            </w:r>
            <w:r w:rsidRPr="0080472A">
              <w:rPr>
                <w:rFonts w:ascii="Arial Narrow" w:eastAsia="Times New Roman" w:hAnsi="Arial Narrow" w:cs="Times New Roman"/>
                <w:color w:val="000000"/>
                <w:sz w:val="18"/>
                <w:szCs w:val="18"/>
              </w:rPr>
              <w:t>65,000 for Fashion models/specialty occupations</w:t>
            </w:r>
          </w:p>
        </w:tc>
        <w:tc>
          <w:tcPr>
            <w:tcW w:w="5001" w:type="dxa"/>
            <w:shd w:val="clear" w:color="auto" w:fill="auto"/>
            <w:vAlign w:val="bottom"/>
          </w:tcPr>
          <w:p w14:paraId="48423502" w14:textId="77777777"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Yes</w:t>
            </w:r>
            <w:r>
              <w:rPr>
                <w:rFonts w:ascii="Arial Narrow" w:eastAsia="Times New Roman" w:hAnsi="Arial Narrow" w:cs="Times New Roman"/>
                <w:color w:val="000000"/>
                <w:sz w:val="18"/>
                <w:szCs w:val="18"/>
              </w:rPr>
              <w:t>:</w:t>
            </w:r>
            <w:r w:rsidRPr="0080472A">
              <w:rPr>
                <w:rFonts w:ascii="Arial Narrow" w:eastAsia="Times New Roman" w:hAnsi="Arial Narrow" w:cs="Times New Roman"/>
                <w:color w:val="000000"/>
                <w:sz w:val="18"/>
                <w:szCs w:val="18"/>
              </w:rPr>
              <w:t xml:space="preserve"> ENTs in sectoral commitments for certain professions</w:t>
            </w:r>
          </w:p>
        </w:tc>
        <w:tc>
          <w:tcPr>
            <w:tcW w:w="3261" w:type="dxa"/>
            <w:shd w:val="clear" w:color="auto" w:fill="auto"/>
            <w:noWrap/>
            <w:vAlign w:val="bottom"/>
          </w:tcPr>
          <w:p w14:paraId="2EF859DB" w14:textId="63ECB70E" w:rsidR="00615361" w:rsidRPr="0080472A" w:rsidRDefault="00615361" w:rsidP="00615361">
            <w:pPr>
              <w:spacing w:after="0" w:line="240" w:lineRule="auto"/>
              <w:rPr>
                <w:rFonts w:ascii="Arial Narrow" w:eastAsia="Times New Roman" w:hAnsi="Arial Narrow" w:cs="Times New Roman"/>
                <w:color w:val="000000"/>
                <w:sz w:val="18"/>
                <w:szCs w:val="18"/>
              </w:rPr>
            </w:pPr>
            <w:r w:rsidRPr="0080472A">
              <w:rPr>
                <w:rFonts w:ascii="Arial Narrow" w:eastAsia="Times New Roman" w:hAnsi="Arial Narrow" w:cs="Times New Roman"/>
                <w:color w:val="000000"/>
                <w:sz w:val="18"/>
                <w:szCs w:val="18"/>
              </w:rPr>
              <w:t>No</w:t>
            </w:r>
            <w:r w:rsidR="00793444">
              <w:rPr>
                <w:rFonts w:ascii="Arial Narrow" w:eastAsia="Times New Roman" w:hAnsi="Arial Narrow" w:cs="Times New Roman"/>
                <w:color w:val="000000"/>
                <w:sz w:val="18"/>
                <w:szCs w:val="18"/>
              </w:rPr>
              <w:t xml:space="preserve"> mention</w:t>
            </w:r>
          </w:p>
        </w:tc>
      </w:tr>
    </w:tbl>
    <w:p w14:paraId="612D38BA" w14:textId="77777777" w:rsidR="006F6D7D" w:rsidRDefault="006F6D7D" w:rsidP="001215B9">
      <w:pPr>
        <w:spacing w:after="120" w:line="360" w:lineRule="auto"/>
        <w:jc w:val="both"/>
        <w:rPr>
          <w:rFonts w:ascii="Calibri" w:hAnsi="Calibri"/>
          <w:spacing w:val="-1"/>
        </w:rPr>
      </w:pPr>
    </w:p>
    <w:p w14:paraId="1EE63454" w14:textId="77777777" w:rsidR="00615361" w:rsidRDefault="00615361" w:rsidP="001215B9">
      <w:pPr>
        <w:spacing w:after="120" w:line="360" w:lineRule="auto"/>
        <w:jc w:val="both"/>
        <w:rPr>
          <w:rFonts w:ascii="Calibri" w:hAnsi="Calibri"/>
          <w:spacing w:val="-1"/>
        </w:rPr>
      </w:pPr>
    </w:p>
    <w:p w14:paraId="00723E8E" w14:textId="77777777" w:rsidR="00615361" w:rsidRPr="00615361" w:rsidRDefault="00615361" w:rsidP="00615361">
      <w:pPr>
        <w:rPr>
          <w:rFonts w:ascii="Calibri" w:hAnsi="Calibri"/>
        </w:rPr>
      </w:pPr>
    </w:p>
    <w:p w14:paraId="39D67E5D" w14:textId="77777777" w:rsidR="00615361" w:rsidRPr="00615361" w:rsidRDefault="00615361" w:rsidP="00615361">
      <w:pPr>
        <w:rPr>
          <w:rFonts w:ascii="Calibri" w:hAnsi="Calibri"/>
        </w:rPr>
      </w:pPr>
    </w:p>
    <w:p w14:paraId="74BA9923" w14:textId="77777777" w:rsidR="00615361" w:rsidRPr="00615361" w:rsidRDefault="00615361" w:rsidP="00615361">
      <w:pPr>
        <w:rPr>
          <w:rFonts w:ascii="Calibri" w:hAnsi="Calibri"/>
        </w:rPr>
      </w:pPr>
    </w:p>
    <w:p w14:paraId="3591D9D6" w14:textId="77777777" w:rsidR="00615361" w:rsidRPr="00615361" w:rsidRDefault="00615361" w:rsidP="00615361">
      <w:pPr>
        <w:rPr>
          <w:rFonts w:ascii="Calibri" w:hAnsi="Calibri"/>
        </w:rPr>
      </w:pPr>
    </w:p>
    <w:p w14:paraId="375EC5FA" w14:textId="77777777" w:rsidR="00615361" w:rsidRPr="00615361" w:rsidRDefault="00615361" w:rsidP="00615361">
      <w:pPr>
        <w:rPr>
          <w:rFonts w:ascii="Calibri" w:hAnsi="Calibri"/>
        </w:rPr>
      </w:pPr>
    </w:p>
    <w:p w14:paraId="49DDDC7D" w14:textId="77777777" w:rsidR="00615361" w:rsidRPr="00615361" w:rsidRDefault="00615361" w:rsidP="00615361">
      <w:pPr>
        <w:rPr>
          <w:rFonts w:ascii="Calibri" w:hAnsi="Calibri"/>
        </w:rPr>
      </w:pPr>
    </w:p>
    <w:p w14:paraId="5F608AFD" w14:textId="77777777" w:rsidR="00615361" w:rsidRPr="00615361" w:rsidRDefault="00615361" w:rsidP="00615361">
      <w:pPr>
        <w:rPr>
          <w:rFonts w:ascii="Calibri" w:hAnsi="Calibri"/>
        </w:rPr>
      </w:pPr>
    </w:p>
    <w:p w14:paraId="15C0F51D" w14:textId="77777777" w:rsidR="00615361" w:rsidRPr="00615361" w:rsidRDefault="00615361" w:rsidP="00615361">
      <w:pPr>
        <w:rPr>
          <w:rFonts w:ascii="Calibri" w:hAnsi="Calibri"/>
        </w:rPr>
      </w:pPr>
    </w:p>
    <w:p w14:paraId="26880DE9" w14:textId="77777777" w:rsidR="00615361" w:rsidRDefault="00615361" w:rsidP="00615361">
      <w:pPr>
        <w:rPr>
          <w:rFonts w:ascii="Calibri" w:hAnsi="Calibri"/>
        </w:rPr>
      </w:pPr>
    </w:p>
    <w:p w14:paraId="4C8A7C36" w14:textId="77777777" w:rsidR="00615361" w:rsidRDefault="00615361" w:rsidP="00615361">
      <w:pPr>
        <w:rPr>
          <w:rFonts w:ascii="Calibri" w:hAnsi="Calibri"/>
        </w:rPr>
      </w:pPr>
    </w:p>
    <w:p w14:paraId="77CBF1EA" w14:textId="77777777" w:rsidR="00615361" w:rsidRDefault="00615361" w:rsidP="00615361">
      <w:pPr>
        <w:rPr>
          <w:rFonts w:ascii="Calibri" w:hAnsi="Calibri"/>
        </w:rPr>
      </w:pPr>
    </w:p>
    <w:p w14:paraId="660C9717" w14:textId="77777777" w:rsidR="00615361" w:rsidRDefault="00615361" w:rsidP="00615361">
      <w:pPr>
        <w:rPr>
          <w:rFonts w:ascii="Calibri" w:hAnsi="Calibri"/>
        </w:rPr>
      </w:pPr>
    </w:p>
    <w:p w14:paraId="0C0D3B94" w14:textId="77777777" w:rsidR="00615361" w:rsidRDefault="00615361" w:rsidP="00615361">
      <w:pPr>
        <w:rPr>
          <w:rFonts w:ascii="Calibri" w:hAnsi="Calibri"/>
        </w:rPr>
      </w:pPr>
    </w:p>
    <w:p w14:paraId="72B357A8" w14:textId="77777777" w:rsidR="00615361" w:rsidRPr="00615361" w:rsidRDefault="00615361" w:rsidP="00615361">
      <w:pPr>
        <w:rPr>
          <w:rFonts w:ascii="Calibri" w:hAnsi="Calibri"/>
          <w:i/>
        </w:rPr>
      </w:pPr>
      <w:r w:rsidRPr="00615361">
        <w:rPr>
          <w:rFonts w:ascii="Calibri" w:hAnsi="Calibri"/>
          <w:i/>
        </w:rPr>
        <w:t>Table 2: Summary of GATS mode 4 commitments by the US, EU and India</w:t>
      </w:r>
    </w:p>
    <w:p w14:paraId="6536BF64" w14:textId="77777777" w:rsidR="00615361" w:rsidRDefault="00615361" w:rsidP="00615361">
      <w:pPr>
        <w:rPr>
          <w:rFonts w:ascii="Calibri" w:hAnsi="Calibri"/>
        </w:rPr>
      </w:pPr>
    </w:p>
    <w:p w14:paraId="005946CF" w14:textId="77777777" w:rsidR="009450CE" w:rsidRPr="00615361" w:rsidRDefault="009450CE" w:rsidP="00615361">
      <w:pPr>
        <w:rPr>
          <w:rFonts w:ascii="Calibri" w:hAnsi="Calibri"/>
        </w:rPr>
        <w:sectPr w:rsidR="009450CE" w:rsidRPr="00615361" w:rsidSect="0032445B">
          <w:pgSz w:w="16840" w:h="11901" w:orient="landscape"/>
          <w:pgMar w:top="1247" w:right="1247" w:bottom="1247" w:left="1247" w:header="709" w:footer="709" w:gutter="0"/>
          <w:cols w:space="708"/>
          <w:docGrid w:linePitch="360"/>
        </w:sectPr>
      </w:pPr>
    </w:p>
    <w:p w14:paraId="7BFE20C1" w14:textId="2C025709" w:rsidR="00524B9B" w:rsidRPr="001215B9" w:rsidRDefault="00F15422" w:rsidP="001215B9">
      <w:pPr>
        <w:spacing w:after="120" w:line="360" w:lineRule="auto"/>
        <w:jc w:val="both"/>
        <w:rPr>
          <w:rFonts w:ascii="Calibri" w:hAnsi="Calibri"/>
          <w:spacing w:val="-1"/>
        </w:rPr>
      </w:pPr>
      <w:r w:rsidRPr="001215B9">
        <w:rPr>
          <w:rFonts w:ascii="Calibri" w:hAnsi="Calibri"/>
          <w:spacing w:val="-1"/>
        </w:rPr>
        <w:lastRenderedPageBreak/>
        <w:t>GATS</w:t>
      </w:r>
      <w:r w:rsidR="00D82044">
        <w:rPr>
          <w:rFonts w:ascii="Calibri" w:hAnsi="Calibri"/>
          <w:spacing w:val="-1"/>
        </w:rPr>
        <w:t xml:space="preserve"> </w:t>
      </w:r>
      <w:r w:rsidRPr="001215B9">
        <w:rPr>
          <w:rFonts w:ascii="Calibri" w:hAnsi="Calibri"/>
          <w:spacing w:val="1"/>
        </w:rPr>
        <w:t>is</w:t>
      </w:r>
      <w:r w:rsidR="00D82044">
        <w:rPr>
          <w:rFonts w:ascii="Calibri" w:hAnsi="Calibri"/>
          <w:spacing w:val="1"/>
        </w:rPr>
        <w:t xml:space="preserve"> </w:t>
      </w:r>
      <w:r w:rsidRPr="001215B9">
        <w:rPr>
          <w:rFonts w:ascii="Calibri" w:hAnsi="Calibri"/>
        </w:rPr>
        <w:t>the</w:t>
      </w:r>
      <w:r w:rsidR="00D82044">
        <w:rPr>
          <w:rFonts w:ascii="Calibri" w:hAnsi="Calibri"/>
        </w:rPr>
        <w:t xml:space="preserve"> </w:t>
      </w:r>
      <w:r w:rsidRPr="001215B9">
        <w:rPr>
          <w:rFonts w:ascii="Calibri" w:hAnsi="Calibri"/>
          <w:spacing w:val="-1"/>
        </w:rPr>
        <w:t>first</w:t>
      </w:r>
      <w:r w:rsidR="00D82044">
        <w:rPr>
          <w:rFonts w:ascii="Calibri" w:hAnsi="Calibri"/>
          <w:spacing w:val="-1"/>
        </w:rPr>
        <w:t xml:space="preserve"> </w:t>
      </w:r>
      <w:r w:rsidRPr="001215B9">
        <w:rPr>
          <w:rFonts w:ascii="Calibri" w:hAnsi="Calibri"/>
          <w:spacing w:val="-1"/>
        </w:rPr>
        <w:t>multilateral</w:t>
      </w:r>
      <w:r w:rsidR="00D82044">
        <w:rPr>
          <w:rFonts w:ascii="Calibri" w:hAnsi="Calibri"/>
          <w:spacing w:val="-1"/>
        </w:rPr>
        <w:t xml:space="preserve"> </w:t>
      </w:r>
      <w:r w:rsidRPr="001215B9">
        <w:rPr>
          <w:rFonts w:ascii="Calibri" w:hAnsi="Calibri"/>
        </w:rPr>
        <w:t>treaty</w:t>
      </w:r>
      <w:r w:rsidR="00D82044">
        <w:rPr>
          <w:rFonts w:ascii="Calibri" w:hAnsi="Calibri"/>
        </w:rPr>
        <w:t xml:space="preserve"> </w:t>
      </w:r>
      <w:r w:rsidRPr="001215B9">
        <w:rPr>
          <w:rFonts w:ascii="Calibri" w:hAnsi="Calibri"/>
          <w:spacing w:val="-1"/>
        </w:rPr>
        <w:t>to</w:t>
      </w:r>
      <w:r w:rsidR="00D82044">
        <w:rPr>
          <w:rFonts w:ascii="Calibri" w:hAnsi="Calibri"/>
          <w:spacing w:val="-1"/>
        </w:rPr>
        <w:t xml:space="preserve"> </w:t>
      </w:r>
      <w:r w:rsidRPr="001215B9">
        <w:rPr>
          <w:rFonts w:ascii="Calibri" w:hAnsi="Calibri"/>
          <w:spacing w:val="-1"/>
        </w:rPr>
        <w:t>include</w:t>
      </w:r>
      <w:r w:rsidR="00D82044">
        <w:rPr>
          <w:rFonts w:ascii="Calibri" w:hAnsi="Calibri"/>
          <w:spacing w:val="-1"/>
        </w:rPr>
        <w:t xml:space="preserve"> </w:t>
      </w:r>
      <w:r w:rsidRPr="001215B9">
        <w:rPr>
          <w:rFonts w:ascii="Calibri" w:hAnsi="Calibri"/>
        </w:rPr>
        <w:t>binding</w:t>
      </w:r>
      <w:r w:rsidR="00D82044">
        <w:rPr>
          <w:rFonts w:ascii="Calibri" w:hAnsi="Calibri"/>
        </w:rPr>
        <w:t xml:space="preserve"> </w:t>
      </w:r>
      <w:r w:rsidRPr="001215B9">
        <w:rPr>
          <w:rFonts w:ascii="Calibri" w:hAnsi="Calibri"/>
          <w:spacing w:val="-1"/>
        </w:rPr>
        <w:t>multilateral</w:t>
      </w:r>
      <w:r w:rsidR="00D82044">
        <w:rPr>
          <w:rFonts w:ascii="Calibri" w:hAnsi="Calibri"/>
          <w:spacing w:val="-1"/>
        </w:rPr>
        <w:t xml:space="preserve"> </w:t>
      </w:r>
      <w:r w:rsidRPr="001215B9">
        <w:rPr>
          <w:rFonts w:ascii="Calibri" w:hAnsi="Calibri"/>
        </w:rPr>
        <w:t>rules</w:t>
      </w:r>
      <w:r w:rsidR="00D82044">
        <w:rPr>
          <w:rFonts w:ascii="Calibri" w:hAnsi="Calibri"/>
        </w:rPr>
        <w:t xml:space="preserve"> </w:t>
      </w:r>
      <w:r w:rsidRPr="001215B9">
        <w:rPr>
          <w:rFonts w:ascii="Calibri" w:hAnsi="Calibri"/>
        </w:rPr>
        <w:t>on</w:t>
      </w:r>
      <w:r w:rsidR="00D82044">
        <w:rPr>
          <w:rFonts w:ascii="Calibri" w:hAnsi="Calibri"/>
        </w:rPr>
        <w:t xml:space="preserve"> </w:t>
      </w:r>
      <w:r w:rsidRPr="001215B9">
        <w:rPr>
          <w:rFonts w:ascii="Calibri" w:hAnsi="Calibri"/>
          <w:spacing w:val="-1"/>
        </w:rPr>
        <w:t>migration.</w:t>
      </w:r>
      <w:r w:rsidR="00D82044">
        <w:rPr>
          <w:rFonts w:ascii="Calibri" w:hAnsi="Calibri"/>
          <w:spacing w:val="-1"/>
        </w:rPr>
        <w:t xml:space="preserve"> </w:t>
      </w:r>
      <w:r w:rsidRPr="001215B9">
        <w:rPr>
          <w:rFonts w:ascii="Calibri" w:hAnsi="Calibri"/>
          <w:spacing w:val="-1"/>
        </w:rPr>
        <w:t>Although</w:t>
      </w:r>
      <w:r w:rsidR="00D82044">
        <w:rPr>
          <w:rFonts w:ascii="Calibri" w:hAnsi="Calibri"/>
          <w:spacing w:val="-1"/>
        </w:rPr>
        <w:t xml:space="preserve"> </w:t>
      </w:r>
      <w:r w:rsidRPr="001215B9">
        <w:rPr>
          <w:rFonts w:ascii="Calibri" w:hAnsi="Calibri"/>
        </w:rPr>
        <w:t>the</w:t>
      </w:r>
      <w:r w:rsidR="00D82044">
        <w:rPr>
          <w:rFonts w:ascii="Calibri" w:hAnsi="Calibri"/>
        </w:rPr>
        <w:t xml:space="preserve"> </w:t>
      </w:r>
      <w:r w:rsidRPr="001215B9">
        <w:rPr>
          <w:rFonts w:ascii="Calibri" w:hAnsi="Calibri"/>
        </w:rPr>
        <w:t>treaty</w:t>
      </w:r>
      <w:r w:rsidR="00D82044">
        <w:rPr>
          <w:rFonts w:ascii="Calibri" w:hAnsi="Calibri"/>
        </w:rPr>
        <w:t xml:space="preserve"> </w:t>
      </w:r>
      <w:r w:rsidRPr="001215B9">
        <w:rPr>
          <w:rFonts w:ascii="Calibri" w:hAnsi="Calibri"/>
          <w:spacing w:val="-1"/>
        </w:rPr>
        <w:t>allows</w:t>
      </w:r>
      <w:r w:rsidR="00D82044">
        <w:rPr>
          <w:rFonts w:ascii="Calibri" w:hAnsi="Calibri"/>
          <w:spacing w:val="-1"/>
        </w:rPr>
        <w:t xml:space="preserve"> </w:t>
      </w:r>
      <w:r w:rsidRPr="001215B9">
        <w:rPr>
          <w:rFonts w:ascii="Calibri" w:hAnsi="Calibri"/>
          <w:spacing w:val="-1"/>
        </w:rPr>
        <w:t>for</w:t>
      </w:r>
      <w:r w:rsidR="00D82044">
        <w:rPr>
          <w:rFonts w:ascii="Calibri" w:hAnsi="Calibri"/>
          <w:spacing w:val="-1"/>
        </w:rPr>
        <w:t xml:space="preserve"> </w:t>
      </w:r>
      <w:r w:rsidRPr="001215B9">
        <w:rPr>
          <w:rFonts w:ascii="Calibri" w:hAnsi="Calibri"/>
        </w:rPr>
        <w:t>a</w:t>
      </w:r>
      <w:r w:rsidR="00D82044">
        <w:rPr>
          <w:rFonts w:ascii="Calibri" w:hAnsi="Calibri"/>
        </w:rPr>
        <w:t xml:space="preserve"> </w:t>
      </w:r>
      <w:r w:rsidRPr="001215B9">
        <w:rPr>
          <w:rFonts w:ascii="Calibri" w:hAnsi="Calibri"/>
          <w:spacing w:val="-1"/>
        </w:rPr>
        <w:t>great</w:t>
      </w:r>
      <w:r w:rsidR="00D82044">
        <w:rPr>
          <w:rFonts w:ascii="Calibri" w:hAnsi="Calibri"/>
          <w:spacing w:val="-1"/>
        </w:rPr>
        <w:t xml:space="preserve"> </w:t>
      </w:r>
      <w:r w:rsidRPr="001215B9">
        <w:rPr>
          <w:rFonts w:ascii="Calibri" w:hAnsi="Calibri"/>
          <w:spacing w:val="-1"/>
        </w:rPr>
        <w:t>degree</w:t>
      </w:r>
      <w:r w:rsidR="00D82044">
        <w:rPr>
          <w:rFonts w:ascii="Calibri" w:hAnsi="Calibri"/>
          <w:spacing w:val="-1"/>
        </w:rPr>
        <w:t xml:space="preserve"> </w:t>
      </w:r>
      <w:r w:rsidRPr="001215B9">
        <w:rPr>
          <w:rFonts w:ascii="Calibri" w:hAnsi="Calibri"/>
        </w:rPr>
        <w:t>of</w:t>
      </w:r>
      <w:r w:rsidR="00D82044">
        <w:rPr>
          <w:rFonts w:ascii="Calibri" w:hAnsi="Calibri"/>
        </w:rPr>
        <w:t xml:space="preserve"> </w:t>
      </w:r>
      <w:r w:rsidRPr="001215B9">
        <w:rPr>
          <w:rFonts w:ascii="Calibri" w:hAnsi="Calibri"/>
          <w:spacing w:val="-1"/>
        </w:rPr>
        <w:t>flexibility,</w:t>
      </w:r>
      <w:r w:rsidR="00D82044">
        <w:rPr>
          <w:rFonts w:ascii="Calibri" w:hAnsi="Calibri"/>
          <w:spacing w:val="-1"/>
        </w:rPr>
        <w:t xml:space="preserve"> </w:t>
      </w:r>
      <w:r w:rsidR="00BD0D5B">
        <w:rPr>
          <w:rFonts w:ascii="Calibri" w:hAnsi="Calibri"/>
          <w:spacing w:val="-1"/>
        </w:rPr>
        <w:t>it also has</w:t>
      </w:r>
      <w:r w:rsidR="00D82044">
        <w:rPr>
          <w:rFonts w:ascii="Calibri" w:hAnsi="Calibri"/>
          <w:spacing w:val="-1"/>
        </w:rPr>
        <w:t xml:space="preserve"> </w:t>
      </w:r>
      <w:r w:rsidRPr="001215B9">
        <w:rPr>
          <w:rFonts w:ascii="Calibri" w:hAnsi="Calibri"/>
          <w:spacing w:val="-1"/>
        </w:rPr>
        <w:t>direct</w:t>
      </w:r>
      <w:r w:rsidR="00D82044">
        <w:rPr>
          <w:rFonts w:ascii="Calibri" w:hAnsi="Calibri"/>
          <w:spacing w:val="-1"/>
        </w:rPr>
        <w:t xml:space="preserve"> </w:t>
      </w:r>
      <w:r w:rsidRPr="001215B9">
        <w:rPr>
          <w:rFonts w:ascii="Calibri" w:hAnsi="Calibri"/>
          <w:spacing w:val="-1"/>
        </w:rPr>
        <w:t>implications</w:t>
      </w:r>
      <w:r w:rsidR="00D82044">
        <w:rPr>
          <w:rFonts w:ascii="Calibri" w:hAnsi="Calibri"/>
          <w:spacing w:val="-1"/>
        </w:rPr>
        <w:t xml:space="preserve"> </w:t>
      </w:r>
      <w:r w:rsidRPr="001215B9">
        <w:rPr>
          <w:rFonts w:ascii="Calibri" w:hAnsi="Calibri"/>
          <w:spacing w:val="-1"/>
        </w:rPr>
        <w:t>for</w:t>
      </w:r>
      <w:r w:rsidR="00D82044">
        <w:rPr>
          <w:rFonts w:ascii="Calibri" w:hAnsi="Calibri"/>
          <w:spacing w:val="-1"/>
        </w:rPr>
        <w:t xml:space="preserve"> </w:t>
      </w:r>
      <w:r w:rsidRPr="001215B9">
        <w:rPr>
          <w:rFonts w:ascii="Calibri" w:hAnsi="Calibri"/>
          <w:spacing w:val="-1"/>
        </w:rPr>
        <w:t>national</w:t>
      </w:r>
      <w:r w:rsidR="00D82044">
        <w:rPr>
          <w:rFonts w:ascii="Calibri" w:hAnsi="Calibri"/>
          <w:spacing w:val="-1"/>
        </w:rPr>
        <w:t xml:space="preserve"> </w:t>
      </w:r>
      <w:r w:rsidRPr="001215B9">
        <w:rPr>
          <w:rFonts w:ascii="Calibri" w:hAnsi="Calibri"/>
          <w:spacing w:val="-1"/>
        </w:rPr>
        <w:t>immigration</w:t>
      </w:r>
      <w:r w:rsidR="00D82044">
        <w:rPr>
          <w:rFonts w:ascii="Calibri" w:hAnsi="Calibri"/>
          <w:spacing w:val="-1"/>
        </w:rPr>
        <w:t xml:space="preserve"> </w:t>
      </w:r>
      <w:r w:rsidRPr="001215B9">
        <w:rPr>
          <w:rFonts w:ascii="Calibri" w:hAnsi="Calibri"/>
          <w:spacing w:val="-1"/>
        </w:rPr>
        <w:t>systems</w:t>
      </w:r>
      <w:r w:rsidR="00D82044">
        <w:rPr>
          <w:rFonts w:ascii="Calibri" w:hAnsi="Calibri"/>
          <w:spacing w:val="-1"/>
        </w:rPr>
        <w:t xml:space="preserve"> </w:t>
      </w:r>
      <w:r w:rsidRPr="001215B9">
        <w:rPr>
          <w:rFonts w:ascii="Calibri" w:hAnsi="Calibri"/>
        </w:rPr>
        <w:t>and</w:t>
      </w:r>
      <w:r w:rsidR="00D82044">
        <w:rPr>
          <w:rFonts w:ascii="Calibri" w:hAnsi="Calibri"/>
        </w:rPr>
        <w:t xml:space="preserve"> </w:t>
      </w:r>
      <w:r w:rsidRPr="001215B9">
        <w:rPr>
          <w:rFonts w:ascii="Calibri" w:hAnsi="Calibri"/>
          <w:spacing w:val="-1"/>
        </w:rPr>
        <w:t>labour</w:t>
      </w:r>
      <w:r w:rsidR="00D82044">
        <w:rPr>
          <w:rFonts w:ascii="Calibri" w:hAnsi="Calibri"/>
          <w:spacing w:val="-1"/>
        </w:rPr>
        <w:t xml:space="preserve"> </w:t>
      </w:r>
      <w:r w:rsidRPr="001215B9">
        <w:rPr>
          <w:rFonts w:ascii="Calibri" w:hAnsi="Calibri"/>
          <w:spacing w:val="-1"/>
        </w:rPr>
        <w:t>market</w:t>
      </w:r>
      <w:r w:rsidR="00D82044">
        <w:rPr>
          <w:rFonts w:ascii="Calibri" w:hAnsi="Calibri"/>
          <w:spacing w:val="-1"/>
        </w:rPr>
        <w:t xml:space="preserve"> </w:t>
      </w:r>
      <w:r w:rsidRPr="001215B9">
        <w:rPr>
          <w:rFonts w:ascii="Calibri" w:hAnsi="Calibri"/>
          <w:spacing w:val="-1"/>
        </w:rPr>
        <w:t>regulations,</w:t>
      </w:r>
      <w:r w:rsidR="00D82044">
        <w:rPr>
          <w:rFonts w:ascii="Calibri" w:hAnsi="Calibri"/>
          <w:spacing w:val="-1"/>
        </w:rPr>
        <w:t xml:space="preserve"> </w:t>
      </w:r>
      <w:r w:rsidRPr="001215B9">
        <w:rPr>
          <w:rFonts w:ascii="Calibri" w:hAnsi="Calibri"/>
          <w:spacing w:val="-1"/>
        </w:rPr>
        <w:t>especially</w:t>
      </w:r>
      <w:r w:rsidR="00D82044">
        <w:rPr>
          <w:rFonts w:ascii="Calibri" w:hAnsi="Calibri"/>
          <w:spacing w:val="-1"/>
        </w:rPr>
        <w:t xml:space="preserve"> </w:t>
      </w:r>
      <w:r w:rsidRPr="001215B9">
        <w:rPr>
          <w:rFonts w:ascii="Calibri" w:hAnsi="Calibri"/>
          <w:spacing w:val="-1"/>
        </w:rPr>
        <w:t>since</w:t>
      </w:r>
      <w:r w:rsidR="00D82044">
        <w:rPr>
          <w:rFonts w:ascii="Calibri" w:hAnsi="Calibri"/>
          <w:spacing w:val="-1"/>
        </w:rPr>
        <w:t xml:space="preserve"> </w:t>
      </w:r>
      <w:r w:rsidRPr="001215B9">
        <w:rPr>
          <w:rFonts w:ascii="Calibri" w:hAnsi="Calibri"/>
          <w:spacing w:val="-1"/>
        </w:rPr>
        <w:t>once</w:t>
      </w:r>
      <w:r w:rsidR="00D82044">
        <w:rPr>
          <w:rFonts w:ascii="Calibri" w:hAnsi="Calibri"/>
          <w:spacing w:val="-1"/>
        </w:rPr>
        <w:t xml:space="preserve"> </w:t>
      </w:r>
      <w:r w:rsidR="003B49DA">
        <w:rPr>
          <w:rFonts w:ascii="Calibri" w:hAnsi="Calibri"/>
          <w:spacing w:val="-1"/>
        </w:rPr>
        <w:t>adopted</w:t>
      </w:r>
      <w:r w:rsidR="00D82044">
        <w:rPr>
          <w:rFonts w:ascii="Calibri" w:hAnsi="Calibri"/>
          <w:spacing w:val="-1"/>
        </w:rPr>
        <w:t xml:space="preserve"> </w:t>
      </w:r>
      <w:r w:rsidRPr="001215B9">
        <w:rPr>
          <w:rFonts w:ascii="Calibri" w:hAnsi="Calibri"/>
          <w:spacing w:val="-1"/>
        </w:rPr>
        <w:t>these</w:t>
      </w:r>
      <w:r w:rsidR="00D82044">
        <w:rPr>
          <w:rFonts w:ascii="Calibri" w:hAnsi="Calibri"/>
          <w:spacing w:val="-1"/>
        </w:rPr>
        <w:t xml:space="preserve"> </w:t>
      </w:r>
      <w:r w:rsidRPr="001215B9">
        <w:rPr>
          <w:rFonts w:ascii="Calibri" w:hAnsi="Calibri"/>
          <w:spacing w:val="-1"/>
        </w:rPr>
        <w:t>commitments</w:t>
      </w:r>
      <w:r w:rsidR="00D82044">
        <w:rPr>
          <w:rFonts w:ascii="Calibri" w:hAnsi="Calibri"/>
          <w:spacing w:val="-1"/>
        </w:rPr>
        <w:t xml:space="preserve"> </w:t>
      </w:r>
      <w:r w:rsidRPr="001215B9">
        <w:rPr>
          <w:rFonts w:ascii="Calibri" w:hAnsi="Calibri"/>
          <w:spacing w:val="-1"/>
        </w:rPr>
        <w:t>cannot</w:t>
      </w:r>
      <w:r w:rsidR="00D82044">
        <w:rPr>
          <w:rFonts w:ascii="Calibri" w:hAnsi="Calibri"/>
          <w:spacing w:val="-1"/>
        </w:rPr>
        <w:t xml:space="preserve"> </w:t>
      </w:r>
      <w:r w:rsidRPr="001215B9">
        <w:rPr>
          <w:rFonts w:ascii="Calibri" w:hAnsi="Calibri"/>
          <w:spacing w:val="1"/>
        </w:rPr>
        <w:t>be</w:t>
      </w:r>
      <w:r w:rsidR="00D82044">
        <w:rPr>
          <w:rFonts w:ascii="Calibri" w:hAnsi="Calibri"/>
          <w:spacing w:val="1"/>
        </w:rPr>
        <w:t xml:space="preserve"> </w:t>
      </w:r>
      <w:r w:rsidRPr="001215B9">
        <w:rPr>
          <w:rFonts w:ascii="Calibri" w:hAnsi="Calibri"/>
          <w:spacing w:val="-1"/>
        </w:rPr>
        <w:t>unilaterally</w:t>
      </w:r>
      <w:r w:rsidR="00D82044">
        <w:rPr>
          <w:rFonts w:ascii="Calibri" w:hAnsi="Calibri"/>
          <w:spacing w:val="-1"/>
        </w:rPr>
        <w:t xml:space="preserve"> </w:t>
      </w:r>
      <w:r w:rsidRPr="001215B9">
        <w:rPr>
          <w:rFonts w:ascii="Calibri" w:hAnsi="Calibri"/>
          <w:spacing w:val="-1"/>
        </w:rPr>
        <w:t xml:space="preserve">reversed. </w:t>
      </w:r>
      <w:r w:rsidR="00F165BD">
        <w:rPr>
          <w:rFonts w:ascii="Calibri" w:hAnsi="Calibri"/>
          <w:spacing w:val="-1"/>
        </w:rPr>
        <w:t>A</w:t>
      </w:r>
      <w:r w:rsidR="00524B9B" w:rsidRPr="001215B9">
        <w:rPr>
          <w:rFonts w:ascii="Calibri" w:hAnsi="Calibri"/>
          <w:spacing w:val="-1"/>
        </w:rPr>
        <w:t>ssessing both developed and developing countries</w:t>
      </w:r>
      <w:r w:rsidR="0086052B">
        <w:rPr>
          <w:rFonts w:ascii="Calibri" w:hAnsi="Calibri"/>
          <w:spacing w:val="-1"/>
        </w:rPr>
        <w:t>’</w:t>
      </w:r>
      <w:r w:rsidR="00D82044">
        <w:rPr>
          <w:rFonts w:ascii="Calibri" w:hAnsi="Calibri"/>
          <w:spacing w:val="-1"/>
        </w:rPr>
        <w:t xml:space="preserve"> </w:t>
      </w:r>
      <w:r w:rsidR="00DE3B6A" w:rsidRPr="001215B9">
        <w:rPr>
          <w:rFonts w:ascii="Calibri" w:hAnsi="Calibri"/>
          <w:spacing w:val="-1"/>
        </w:rPr>
        <w:t xml:space="preserve">WTO </w:t>
      </w:r>
      <w:r w:rsidR="00524B9B" w:rsidRPr="001215B9">
        <w:rPr>
          <w:rFonts w:ascii="Calibri" w:hAnsi="Calibri"/>
          <w:spacing w:val="-1"/>
        </w:rPr>
        <w:t xml:space="preserve">commitments on mode 4, it </w:t>
      </w:r>
      <w:r w:rsidR="00DC6B23" w:rsidRPr="001215B9">
        <w:rPr>
          <w:rFonts w:ascii="Calibri" w:hAnsi="Calibri"/>
          <w:spacing w:val="-1"/>
        </w:rPr>
        <w:t>i</w:t>
      </w:r>
      <w:r w:rsidR="00524B9B" w:rsidRPr="001215B9">
        <w:rPr>
          <w:rFonts w:ascii="Calibri" w:hAnsi="Calibri"/>
          <w:spacing w:val="-1"/>
        </w:rPr>
        <w:t>s</w:t>
      </w:r>
      <w:r w:rsidR="00DC6B23" w:rsidRPr="001215B9">
        <w:rPr>
          <w:rFonts w:ascii="Calibri" w:hAnsi="Calibri"/>
          <w:spacing w:val="-1"/>
        </w:rPr>
        <w:t xml:space="preserve"> to</w:t>
      </w:r>
      <w:r w:rsidR="00524B9B" w:rsidRPr="001215B9">
        <w:rPr>
          <w:rFonts w:ascii="Calibri" w:hAnsi="Calibri"/>
          <w:spacing w:val="-1"/>
        </w:rPr>
        <w:t xml:space="preserve"> be </w:t>
      </w:r>
      <w:r w:rsidR="00DC6B23" w:rsidRPr="001215B9">
        <w:rPr>
          <w:rFonts w:ascii="Calibri" w:hAnsi="Calibri"/>
          <w:spacing w:val="-1"/>
        </w:rPr>
        <w:t>noted</w:t>
      </w:r>
      <w:r w:rsidR="0031658E" w:rsidRPr="001215B9">
        <w:rPr>
          <w:rFonts w:ascii="Calibri" w:hAnsi="Calibri"/>
          <w:spacing w:val="-1"/>
        </w:rPr>
        <w:t xml:space="preserve"> that </w:t>
      </w:r>
      <w:r w:rsidR="00C95330" w:rsidRPr="001215B9">
        <w:rPr>
          <w:rFonts w:ascii="Calibri" w:hAnsi="Calibri"/>
          <w:spacing w:val="-1"/>
        </w:rPr>
        <w:t>mobility provisions</w:t>
      </w:r>
      <w:r w:rsidR="00D82044">
        <w:rPr>
          <w:rFonts w:ascii="Calibri" w:hAnsi="Calibri"/>
          <w:spacing w:val="-1"/>
        </w:rPr>
        <w:t xml:space="preserve"> </w:t>
      </w:r>
      <w:r w:rsidR="00DE3B6A" w:rsidRPr="001215B9">
        <w:rPr>
          <w:rFonts w:ascii="Calibri" w:hAnsi="Calibri"/>
          <w:spacing w:val="-1"/>
        </w:rPr>
        <w:t xml:space="preserve">at the multilateral level </w:t>
      </w:r>
      <w:r w:rsidR="00810350" w:rsidRPr="001215B9">
        <w:rPr>
          <w:rFonts w:ascii="Calibri" w:hAnsi="Calibri"/>
          <w:spacing w:val="-1"/>
        </w:rPr>
        <w:t>remain limited</w:t>
      </w:r>
      <w:r w:rsidR="003C784F">
        <w:rPr>
          <w:rFonts w:ascii="Calibri" w:hAnsi="Calibri"/>
          <w:spacing w:val="-1"/>
        </w:rPr>
        <w:t>.</w:t>
      </w:r>
      <w:r w:rsidR="00D82044">
        <w:rPr>
          <w:rFonts w:ascii="Calibri" w:hAnsi="Calibri"/>
          <w:spacing w:val="-1"/>
        </w:rPr>
        <w:t xml:space="preserve"> </w:t>
      </w:r>
      <w:r w:rsidR="00AC1F23">
        <w:rPr>
          <w:rFonts w:ascii="Calibri" w:hAnsi="Calibri"/>
          <w:spacing w:val="-1"/>
        </w:rPr>
        <w:t>But t</w:t>
      </w:r>
      <w:r w:rsidR="00DE3B6A" w:rsidRPr="001215B9">
        <w:rPr>
          <w:rFonts w:ascii="Calibri" w:hAnsi="Calibri"/>
          <w:spacing w:val="-1"/>
        </w:rPr>
        <w:t xml:space="preserve">he WTO </w:t>
      </w:r>
      <w:r w:rsidR="005C3107" w:rsidRPr="001215B9">
        <w:rPr>
          <w:rFonts w:ascii="Calibri" w:hAnsi="Calibri"/>
          <w:spacing w:val="-1"/>
        </w:rPr>
        <w:t xml:space="preserve">iterative </w:t>
      </w:r>
      <w:r w:rsidR="00DE3B6A" w:rsidRPr="001215B9">
        <w:rPr>
          <w:rFonts w:ascii="Calibri" w:hAnsi="Calibri"/>
          <w:spacing w:val="-1"/>
        </w:rPr>
        <w:t>round</w:t>
      </w:r>
      <w:r w:rsidR="005C3107" w:rsidRPr="001215B9">
        <w:rPr>
          <w:rFonts w:ascii="Calibri" w:hAnsi="Calibri"/>
          <w:spacing w:val="-1"/>
        </w:rPr>
        <w:t>s</w:t>
      </w:r>
      <w:r w:rsidR="00DE3B6A" w:rsidRPr="001215B9">
        <w:rPr>
          <w:rFonts w:ascii="Calibri" w:hAnsi="Calibri"/>
          <w:spacing w:val="-1"/>
        </w:rPr>
        <w:t xml:space="preserve"> of negotiations have </w:t>
      </w:r>
      <w:r w:rsidR="00E11391" w:rsidRPr="001215B9">
        <w:rPr>
          <w:rFonts w:ascii="Calibri" w:hAnsi="Calibri"/>
          <w:spacing w:val="-1"/>
        </w:rPr>
        <w:t>created</w:t>
      </w:r>
      <w:r w:rsidR="00D82044">
        <w:rPr>
          <w:rFonts w:ascii="Calibri" w:hAnsi="Calibri"/>
          <w:spacing w:val="-1"/>
        </w:rPr>
        <w:t xml:space="preserve"> </w:t>
      </w:r>
      <w:r w:rsidR="00686352" w:rsidRPr="001215B9">
        <w:rPr>
          <w:rFonts w:ascii="Calibri" w:hAnsi="Calibri"/>
          <w:spacing w:val="-1"/>
        </w:rPr>
        <w:t>a propitious momentum for</w:t>
      </w:r>
      <w:r w:rsidR="00E11391" w:rsidRPr="001215B9">
        <w:rPr>
          <w:rFonts w:ascii="Calibri" w:hAnsi="Calibri"/>
          <w:spacing w:val="-1"/>
        </w:rPr>
        <w:t xml:space="preserve"> norm expansion </w:t>
      </w:r>
      <w:r w:rsidR="00AE52C4" w:rsidRPr="001215B9">
        <w:rPr>
          <w:rFonts w:ascii="Calibri" w:hAnsi="Calibri"/>
          <w:spacing w:val="-1"/>
        </w:rPr>
        <w:t>outside GATS,</w:t>
      </w:r>
      <w:r w:rsidR="00D82044">
        <w:rPr>
          <w:rFonts w:ascii="Calibri" w:hAnsi="Calibri"/>
          <w:spacing w:val="-1"/>
        </w:rPr>
        <w:t xml:space="preserve"> </w:t>
      </w:r>
      <w:r w:rsidR="00E55A0A" w:rsidRPr="001215B9">
        <w:rPr>
          <w:rFonts w:ascii="Calibri" w:hAnsi="Calibri"/>
          <w:spacing w:val="-1"/>
        </w:rPr>
        <w:t xml:space="preserve">in regional and bilateral trade agreements. </w:t>
      </w:r>
      <w:r w:rsidR="00E961B5">
        <w:rPr>
          <w:rFonts w:ascii="Calibri" w:hAnsi="Calibri"/>
          <w:spacing w:val="-1"/>
        </w:rPr>
        <w:t>I</w:t>
      </w:r>
      <w:r w:rsidR="00D419FF" w:rsidRPr="001215B9">
        <w:rPr>
          <w:rFonts w:ascii="Calibri" w:hAnsi="Calibri"/>
          <w:spacing w:val="-1"/>
        </w:rPr>
        <w:t xml:space="preserve">n support for greater </w:t>
      </w:r>
      <w:r w:rsidR="008D5986" w:rsidRPr="001215B9">
        <w:rPr>
          <w:rFonts w:ascii="Calibri" w:hAnsi="Calibri"/>
          <w:spacing w:val="-1"/>
        </w:rPr>
        <w:t xml:space="preserve">mode 4 </w:t>
      </w:r>
      <w:r w:rsidR="007B1926">
        <w:rPr>
          <w:rFonts w:ascii="Calibri" w:hAnsi="Calibri"/>
          <w:spacing w:val="-1"/>
        </w:rPr>
        <w:t>openings</w:t>
      </w:r>
      <w:r w:rsidR="00D419FF" w:rsidRPr="001215B9">
        <w:rPr>
          <w:rFonts w:ascii="Calibri" w:hAnsi="Calibri"/>
          <w:spacing w:val="-1"/>
        </w:rPr>
        <w:t>, adds market forces</w:t>
      </w:r>
      <w:r w:rsidR="00C85CA1" w:rsidRPr="001215B9">
        <w:rPr>
          <w:rFonts w:ascii="Calibri" w:hAnsi="Calibri"/>
          <w:spacing w:val="-1"/>
        </w:rPr>
        <w:t>, labour shortages in developed economies</w:t>
      </w:r>
      <w:r w:rsidR="00D419FF" w:rsidRPr="001215B9">
        <w:rPr>
          <w:rFonts w:ascii="Calibri" w:hAnsi="Calibri"/>
          <w:spacing w:val="-1"/>
        </w:rPr>
        <w:t xml:space="preserve"> and</w:t>
      </w:r>
      <w:r w:rsidR="00794C52">
        <w:rPr>
          <w:rFonts w:ascii="Calibri" w:hAnsi="Calibri"/>
          <w:spacing w:val="-1"/>
        </w:rPr>
        <w:t xml:space="preserve"> </w:t>
      </w:r>
      <w:r w:rsidR="00D419FF" w:rsidRPr="001215B9">
        <w:rPr>
          <w:rFonts w:ascii="Calibri" w:hAnsi="Calibri"/>
        </w:rPr>
        <w:t>the</w:t>
      </w:r>
      <w:r w:rsidR="00794C52">
        <w:rPr>
          <w:rFonts w:ascii="Calibri" w:hAnsi="Calibri"/>
        </w:rPr>
        <w:t xml:space="preserve"> </w:t>
      </w:r>
      <w:r w:rsidR="00D419FF" w:rsidRPr="001215B9">
        <w:rPr>
          <w:rFonts w:ascii="Calibri" w:hAnsi="Calibri"/>
          <w:spacing w:val="-1"/>
        </w:rPr>
        <w:t>pressure</w:t>
      </w:r>
      <w:r w:rsidR="00794C52">
        <w:rPr>
          <w:rFonts w:ascii="Calibri" w:hAnsi="Calibri"/>
          <w:spacing w:val="-1"/>
        </w:rPr>
        <w:t xml:space="preserve"> </w:t>
      </w:r>
      <w:r w:rsidR="00D419FF" w:rsidRPr="001215B9">
        <w:rPr>
          <w:rFonts w:ascii="Calibri" w:hAnsi="Calibri"/>
          <w:spacing w:val="-1"/>
        </w:rPr>
        <w:t>of</w:t>
      </w:r>
      <w:r w:rsidR="00794C52">
        <w:rPr>
          <w:rFonts w:ascii="Calibri" w:hAnsi="Calibri"/>
          <w:spacing w:val="-1"/>
        </w:rPr>
        <w:t xml:space="preserve"> </w:t>
      </w:r>
      <w:r w:rsidR="00D419FF" w:rsidRPr="001215B9">
        <w:rPr>
          <w:rFonts w:ascii="Calibri" w:hAnsi="Calibri"/>
        </w:rPr>
        <w:t>the</w:t>
      </w:r>
      <w:r w:rsidR="003B49DA">
        <w:rPr>
          <w:rFonts w:ascii="Calibri" w:hAnsi="Calibri"/>
        </w:rPr>
        <w:t xml:space="preserve"> </w:t>
      </w:r>
      <w:r w:rsidR="00D419FF" w:rsidRPr="001215B9">
        <w:rPr>
          <w:rFonts w:ascii="Calibri" w:hAnsi="Calibri"/>
          <w:spacing w:val="-1"/>
        </w:rPr>
        <w:t>service</w:t>
      </w:r>
      <w:r w:rsidR="00794C52">
        <w:rPr>
          <w:rFonts w:ascii="Calibri" w:hAnsi="Calibri"/>
          <w:spacing w:val="-1"/>
        </w:rPr>
        <w:t xml:space="preserve"> </w:t>
      </w:r>
      <w:r w:rsidR="00D419FF" w:rsidRPr="001215B9">
        <w:rPr>
          <w:rFonts w:ascii="Calibri" w:hAnsi="Calibri"/>
          <w:spacing w:val="-1"/>
        </w:rPr>
        <w:t>industries.</w:t>
      </w:r>
      <w:r w:rsidR="00794C52">
        <w:rPr>
          <w:rFonts w:ascii="Calibri" w:hAnsi="Calibri"/>
          <w:spacing w:val="-1"/>
        </w:rPr>
        <w:t xml:space="preserve"> </w:t>
      </w:r>
      <w:r w:rsidR="00D419FF" w:rsidRPr="001215B9">
        <w:rPr>
          <w:rFonts w:ascii="Calibri" w:hAnsi="Calibri"/>
          <w:spacing w:val="-1"/>
        </w:rPr>
        <w:t>In</w:t>
      </w:r>
      <w:r w:rsidR="00794C52">
        <w:rPr>
          <w:rFonts w:ascii="Calibri" w:hAnsi="Calibri"/>
          <w:spacing w:val="-1"/>
        </w:rPr>
        <w:t xml:space="preserve"> </w:t>
      </w:r>
      <w:r w:rsidR="00D419FF" w:rsidRPr="001215B9">
        <w:rPr>
          <w:rFonts w:ascii="Calibri" w:hAnsi="Calibri"/>
        </w:rPr>
        <w:t>Europe</w:t>
      </w:r>
      <w:r w:rsidR="00794C52">
        <w:rPr>
          <w:rFonts w:ascii="Calibri" w:hAnsi="Calibri"/>
        </w:rPr>
        <w:t xml:space="preserve"> </w:t>
      </w:r>
      <w:r w:rsidR="00D419FF" w:rsidRPr="001215B9">
        <w:rPr>
          <w:rFonts w:ascii="Calibri" w:hAnsi="Calibri"/>
          <w:spacing w:val="-1"/>
        </w:rPr>
        <w:t>and</w:t>
      </w:r>
      <w:r w:rsidR="00794C52">
        <w:rPr>
          <w:rFonts w:ascii="Calibri" w:hAnsi="Calibri"/>
          <w:spacing w:val="-1"/>
        </w:rPr>
        <w:t xml:space="preserve"> </w:t>
      </w:r>
      <w:r w:rsidR="00D419FF" w:rsidRPr="001215B9">
        <w:rPr>
          <w:rFonts w:ascii="Calibri" w:hAnsi="Calibri"/>
          <w:spacing w:val="-1"/>
        </w:rPr>
        <w:t>North</w:t>
      </w:r>
      <w:r w:rsidR="00794C52">
        <w:rPr>
          <w:rFonts w:ascii="Calibri" w:hAnsi="Calibri"/>
          <w:spacing w:val="-1"/>
        </w:rPr>
        <w:t xml:space="preserve"> </w:t>
      </w:r>
      <w:r w:rsidR="00D419FF" w:rsidRPr="001215B9">
        <w:rPr>
          <w:rFonts w:ascii="Calibri" w:hAnsi="Calibri"/>
          <w:spacing w:val="-1"/>
        </w:rPr>
        <w:t>America,</w:t>
      </w:r>
      <w:r w:rsidR="00794C52">
        <w:rPr>
          <w:rFonts w:ascii="Calibri" w:hAnsi="Calibri"/>
          <w:spacing w:val="-1"/>
        </w:rPr>
        <w:t xml:space="preserve"> </w:t>
      </w:r>
      <w:r w:rsidR="00D419FF" w:rsidRPr="001215B9">
        <w:rPr>
          <w:rFonts w:ascii="Calibri" w:hAnsi="Calibri"/>
          <w:spacing w:val="-1"/>
        </w:rPr>
        <w:t>service</w:t>
      </w:r>
      <w:r w:rsidR="00794C52">
        <w:rPr>
          <w:rFonts w:ascii="Calibri" w:hAnsi="Calibri"/>
          <w:spacing w:val="-1"/>
        </w:rPr>
        <w:t xml:space="preserve"> </w:t>
      </w:r>
      <w:r w:rsidR="00D419FF" w:rsidRPr="001215B9">
        <w:rPr>
          <w:rFonts w:ascii="Calibri" w:hAnsi="Calibri"/>
          <w:spacing w:val="-1"/>
        </w:rPr>
        <w:t>industries</w:t>
      </w:r>
      <w:r w:rsidR="00794C52">
        <w:rPr>
          <w:rFonts w:ascii="Calibri" w:hAnsi="Calibri"/>
          <w:spacing w:val="-1"/>
        </w:rPr>
        <w:t xml:space="preserve"> </w:t>
      </w:r>
      <w:r w:rsidR="00D419FF" w:rsidRPr="001215B9">
        <w:rPr>
          <w:rFonts w:ascii="Calibri" w:hAnsi="Calibri"/>
          <w:spacing w:val="-1"/>
        </w:rPr>
        <w:t>have</w:t>
      </w:r>
      <w:r w:rsidR="00794C52">
        <w:rPr>
          <w:rFonts w:ascii="Calibri" w:hAnsi="Calibri"/>
          <w:spacing w:val="-1"/>
        </w:rPr>
        <w:t xml:space="preserve"> </w:t>
      </w:r>
      <w:r w:rsidR="00D419FF" w:rsidRPr="001215B9">
        <w:rPr>
          <w:rFonts w:ascii="Calibri" w:hAnsi="Calibri"/>
        </w:rPr>
        <w:t>join</w:t>
      </w:r>
      <w:r w:rsidR="002021FF">
        <w:rPr>
          <w:rFonts w:ascii="Calibri" w:hAnsi="Calibri"/>
        </w:rPr>
        <w:t>ed</w:t>
      </w:r>
      <w:r w:rsidR="00794C52">
        <w:rPr>
          <w:rFonts w:ascii="Calibri" w:hAnsi="Calibri"/>
        </w:rPr>
        <w:t xml:space="preserve"> </w:t>
      </w:r>
      <w:r w:rsidR="00D419FF" w:rsidRPr="001215B9">
        <w:rPr>
          <w:rFonts w:ascii="Calibri" w:hAnsi="Calibri"/>
          <w:spacing w:val="-1"/>
        </w:rPr>
        <w:t>forces</w:t>
      </w:r>
      <w:r w:rsidR="00794C52">
        <w:rPr>
          <w:rFonts w:ascii="Calibri" w:hAnsi="Calibri"/>
          <w:spacing w:val="-1"/>
        </w:rPr>
        <w:t xml:space="preserve"> </w:t>
      </w:r>
      <w:r w:rsidR="00D419FF" w:rsidRPr="001215B9">
        <w:rPr>
          <w:rFonts w:ascii="Calibri" w:hAnsi="Calibri"/>
          <w:spacing w:val="1"/>
        </w:rPr>
        <w:t>in</w:t>
      </w:r>
      <w:r w:rsidR="00794C52">
        <w:rPr>
          <w:rFonts w:ascii="Calibri" w:hAnsi="Calibri"/>
          <w:spacing w:val="1"/>
        </w:rPr>
        <w:t xml:space="preserve"> </w:t>
      </w:r>
      <w:r w:rsidR="00D419FF" w:rsidRPr="001215B9">
        <w:rPr>
          <w:rFonts w:ascii="Calibri" w:hAnsi="Calibri"/>
          <w:spacing w:val="-1"/>
        </w:rPr>
        <w:t>two</w:t>
      </w:r>
      <w:r w:rsidR="00794C52">
        <w:rPr>
          <w:rFonts w:ascii="Calibri" w:hAnsi="Calibri"/>
          <w:spacing w:val="-1"/>
        </w:rPr>
        <w:t xml:space="preserve"> </w:t>
      </w:r>
      <w:r w:rsidR="00D419FF" w:rsidRPr="001215B9">
        <w:rPr>
          <w:rFonts w:ascii="Calibri" w:hAnsi="Calibri"/>
          <w:spacing w:val="-1"/>
        </w:rPr>
        <w:t>influential</w:t>
      </w:r>
      <w:r w:rsidR="00794C52">
        <w:rPr>
          <w:rFonts w:ascii="Calibri" w:hAnsi="Calibri"/>
          <w:spacing w:val="-1"/>
        </w:rPr>
        <w:t xml:space="preserve"> </w:t>
      </w:r>
      <w:r w:rsidR="00D419FF" w:rsidRPr="001215B9">
        <w:rPr>
          <w:rFonts w:ascii="Calibri" w:hAnsi="Calibri"/>
          <w:spacing w:val="-1"/>
        </w:rPr>
        <w:t>interests</w:t>
      </w:r>
      <w:r w:rsidR="00794C52">
        <w:rPr>
          <w:rFonts w:ascii="Calibri" w:hAnsi="Calibri"/>
          <w:spacing w:val="-1"/>
        </w:rPr>
        <w:t xml:space="preserve"> </w:t>
      </w:r>
      <w:r w:rsidR="00D419FF" w:rsidRPr="001215B9">
        <w:rPr>
          <w:rFonts w:ascii="Calibri" w:hAnsi="Calibri"/>
          <w:spacing w:val="-2"/>
        </w:rPr>
        <w:t>groups</w:t>
      </w:r>
      <w:r w:rsidR="00AC5BA5">
        <w:rPr>
          <w:rFonts w:ascii="Calibri" w:hAnsi="Calibri"/>
          <w:spacing w:val="-1"/>
        </w:rPr>
        <w:t>,</w:t>
      </w:r>
      <w:r w:rsidR="00794C52">
        <w:rPr>
          <w:rFonts w:ascii="Calibri" w:hAnsi="Calibri"/>
          <w:spacing w:val="-1"/>
        </w:rPr>
        <w:t xml:space="preserve"> </w:t>
      </w:r>
      <w:r w:rsidR="00D419FF" w:rsidRPr="001215B9">
        <w:rPr>
          <w:rFonts w:ascii="Calibri" w:hAnsi="Calibri"/>
          <w:spacing w:val="-1"/>
        </w:rPr>
        <w:t>the</w:t>
      </w:r>
      <w:r w:rsidR="00794C52">
        <w:rPr>
          <w:rFonts w:ascii="Calibri" w:hAnsi="Calibri"/>
          <w:spacing w:val="-1"/>
        </w:rPr>
        <w:t xml:space="preserve"> </w:t>
      </w:r>
      <w:r w:rsidR="00D419FF" w:rsidRPr="001215B9">
        <w:rPr>
          <w:rFonts w:ascii="Calibri" w:hAnsi="Calibri"/>
          <w:spacing w:val="-1"/>
        </w:rPr>
        <w:t>European</w:t>
      </w:r>
      <w:r w:rsidR="00794C52">
        <w:rPr>
          <w:rFonts w:ascii="Calibri" w:hAnsi="Calibri"/>
          <w:spacing w:val="-1"/>
        </w:rPr>
        <w:t xml:space="preserve"> </w:t>
      </w:r>
      <w:r w:rsidR="00D419FF" w:rsidRPr="001215B9">
        <w:rPr>
          <w:rFonts w:ascii="Calibri" w:hAnsi="Calibri"/>
          <w:spacing w:val="-1"/>
        </w:rPr>
        <w:t>Service</w:t>
      </w:r>
      <w:r w:rsidR="00794C52">
        <w:rPr>
          <w:rFonts w:ascii="Calibri" w:hAnsi="Calibri"/>
          <w:spacing w:val="-1"/>
        </w:rPr>
        <w:t xml:space="preserve"> </w:t>
      </w:r>
      <w:r w:rsidR="00D419FF" w:rsidRPr="001215B9">
        <w:rPr>
          <w:rFonts w:ascii="Calibri" w:hAnsi="Calibri"/>
          <w:spacing w:val="-1"/>
        </w:rPr>
        <w:t>Forum</w:t>
      </w:r>
      <w:r w:rsidR="00794C52">
        <w:rPr>
          <w:rFonts w:ascii="Calibri" w:hAnsi="Calibri"/>
          <w:spacing w:val="-1"/>
        </w:rPr>
        <w:t xml:space="preserve"> </w:t>
      </w:r>
      <w:r w:rsidR="00D419FF" w:rsidRPr="001215B9">
        <w:rPr>
          <w:rFonts w:ascii="Calibri" w:hAnsi="Calibri"/>
          <w:spacing w:val="-1"/>
        </w:rPr>
        <w:t>and</w:t>
      </w:r>
      <w:r w:rsidR="00794C52">
        <w:rPr>
          <w:rFonts w:ascii="Calibri" w:hAnsi="Calibri"/>
          <w:spacing w:val="-1"/>
        </w:rPr>
        <w:t xml:space="preserve"> </w:t>
      </w:r>
      <w:r w:rsidR="00D419FF" w:rsidRPr="001215B9">
        <w:rPr>
          <w:rFonts w:ascii="Calibri" w:hAnsi="Calibri"/>
          <w:spacing w:val="-1"/>
        </w:rPr>
        <w:t>the</w:t>
      </w:r>
      <w:r w:rsidR="00794C52">
        <w:rPr>
          <w:rFonts w:ascii="Calibri" w:hAnsi="Calibri"/>
          <w:spacing w:val="-1"/>
        </w:rPr>
        <w:t xml:space="preserve"> </w:t>
      </w:r>
      <w:r w:rsidR="00D419FF" w:rsidRPr="001215B9">
        <w:rPr>
          <w:rFonts w:ascii="Calibri" w:hAnsi="Calibri"/>
          <w:spacing w:val="-1"/>
        </w:rPr>
        <w:t>US</w:t>
      </w:r>
      <w:r w:rsidR="00794C52">
        <w:rPr>
          <w:rFonts w:ascii="Calibri" w:hAnsi="Calibri"/>
          <w:spacing w:val="-1"/>
        </w:rPr>
        <w:t xml:space="preserve"> </w:t>
      </w:r>
      <w:r w:rsidR="00D419FF" w:rsidRPr="001215B9">
        <w:rPr>
          <w:rFonts w:ascii="Calibri" w:hAnsi="Calibri"/>
          <w:spacing w:val="-1"/>
        </w:rPr>
        <w:t>Coalition</w:t>
      </w:r>
      <w:r w:rsidR="00794C52">
        <w:rPr>
          <w:rFonts w:ascii="Calibri" w:hAnsi="Calibri"/>
          <w:spacing w:val="-1"/>
        </w:rPr>
        <w:t xml:space="preserve"> </w:t>
      </w:r>
      <w:r w:rsidR="00D419FF" w:rsidRPr="001215B9">
        <w:rPr>
          <w:rFonts w:ascii="Calibri" w:hAnsi="Calibri"/>
        </w:rPr>
        <w:t>of</w:t>
      </w:r>
      <w:r w:rsidR="00794C52">
        <w:rPr>
          <w:rFonts w:ascii="Calibri" w:hAnsi="Calibri"/>
        </w:rPr>
        <w:t xml:space="preserve"> </w:t>
      </w:r>
      <w:r w:rsidR="00D419FF" w:rsidRPr="001215B9">
        <w:rPr>
          <w:rFonts w:ascii="Calibri" w:hAnsi="Calibri"/>
          <w:spacing w:val="-1"/>
        </w:rPr>
        <w:t>Service</w:t>
      </w:r>
      <w:r w:rsidR="00794C52">
        <w:rPr>
          <w:rFonts w:ascii="Calibri" w:hAnsi="Calibri"/>
          <w:spacing w:val="-1"/>
        </w:rPr>
        <w:t xml:space="preserve"> </w:t>
      </w:r>
      <w:r w:rsidR="00D419FF" w:rsidRPr="001215B9">
        <w:rPr>
          <w:rFonts w:ascii="Calibri" w:hAnsi="Calibri"/>
          <w:spacing w:val="-1"/>
        </w:rPr>
        <w:t>Industries</w:t>
      </w:r>
      <w:r w:rsidR="00D34ECC">
        <w:rPr>
          <w:rFonts w:ascii="Calibri" w:hAnsi="Calibri"/>
          <w:spacing w:val="-1"/>
        </w:rPr>
        <w:t xml:space="preserve">. </w:t>
      </w:r>
      <w:r w:rsidR="002021FF">
        <w:rPr>
          <w:rFonts w:ascii="Calibri" w:hAnsi="Calibri"/>
          <w:spacing w:val="-1"/>
        </w:rPr>
        <w:t xml:space="preserve">More recently, these western interest groups have been joined by NASSCOM, India's powerful lobby of IT business. At the same time the Indian government has established its role as spokesperson of the developing countries, pursuing its attempts </w:t>
      </w:r>
      <w:r w:rsidR="004853C7" w:rsidRPr="001215B9">
        <w:rPr>
          <w:rFonts w:ascii="Calibri" w:hAnsi="Calibri"/>
          <w:spacing w:val="-1"/>
        </w:rPr>
        <w:t xml:space="preserve">to achieve </w:t>
      </w:r>
      <w:r w:rsidR="003F1107" w:rsidRPr="001215B9">
        <w:rPr>
          <w:rFonts w:ascii="Calibri" w:hAnsi="Calibri"/>
          <w:spacing w:val="-1"/>
        </w:rPr>
        <w:t xml:space="preserve">mobility </w:t>
      </w:r>
      <w:r w:rsidR="00E11391" w:rsidRPr="001215B9">
        <w:rPr>
          <w:rFonts w:ascii="Calibri" w:hAnsi="Calibri"/>
          <w:spacing w:val="-1"/>
        </w:rPr>
        <w:t xml:space="preserve">for </w:t>
      </w:r>
      <w:r w:rsidR="002F2B65">
        <w:rPr>
          <w:rFonts w:ascii="Calibri" w:hAnsi="Calibri"/>
          <w:spacing w:val="-1"/>
        </w:rPr>
        <w:t>lower</w:t>
      </w:r>
      <w:r w:rsidR="0086099C">
        <w:rPr>
          <w:rFonts w:ascii="Calibri" w:hAnsi="Calibri"/>
          <w:spacing w:val="-1"/>
        </w:rPr>
        <w:t>-</w:t>
      </w:r>
      <w:r w:rsidR="002F2B65">
        <w:rPr>
          <w:rFonts w:ascii="Calibri" w:hAnsi="Calibri"/>
          <w:spacing w:val="-1"/>
        </w:rPr>
        <w:t xml:space="preserve"> and </w:t>
      </w:r>
      <w:r w:rsidR="00E11391" w:rsidRPr="001215B9">
        <w:rPr>
          <w:rFonts w:ascii="Calibri" w:hAnsi="Calibri"/>
          <w:spacing w:val="-1"/>
        </w:rPr>
        <w:t>semi-skilled</w:t>
      </w:r>
      <w:r w:rsidR="00EA55C4">
        <w:rPr>
          <w:rFonts w:ascii="Calibri" w:hAnsi="Calibri"/>
          <w:spacing w:val="-1"/>
        </w:rPr>
        <w:t xml:space="preserve"> </w:t>
      </w:r>
      <w:r w:rsidR="002F0486" w:rsidRPr="001215B9">
        <w:rPr>
          <w:rFonts w:ascii="Calibri" w:hAnsi="Calibri"/>
          <w:spacing w:val="-1"/>
        </w:rPr>
        <w:t>work</w:t>
      </w:r>
      <w:r w:rsidR="00EA55C4">
        <w:rPr>
          <w:rFonts w:ascii="Calibri" w:hAnsi="Calibri"/>
          <w:spacing w:val="-1"/>
        </w:rPr>
        <w:t xml:space="preserve"> </w:t>
      </w:r>
      <w:r w:rsidR="002F0486" w:rsidRPr="001215B9">
        <w:rPr>
          <w:rFonts w:ascii="Calibri" w:hAnsi="Calibri"/>
          <w:spacing w:val="-1"/>
        </w:rPr>
        <w:t>force</w:t>
      </w:r>
      <w:r w:rsidR="00F52EBE">
        <w:rPr>
          <w:rFonts w:ascii="Calibri" w:hAnsi="Calibri"/>
          <w:spacing w:val="-1"/>
        </w:rPr>
        <w:t>, especially</w:t>
      </w:r>
      <w:r w:rsidR="00EA55C4">
        <w:rPr>
          <w:rFonts w:ascii="Calibri" w:hAnsi="Calibri"/>
          <w:spacing w:val="-1"/>
        </w:rPr>
        <w:t xml:space="preserve"> </w:t>
      </w:r>
      <w:r w:rsidR="00E11391" w:rsidRPr="001215B9">
        <w:rPr>
          <w:rFonts w:ascii="Calibri" w:hAnsi="Calibri"/>
          <w:spacing w:val="-1"/>
        </w:rPr>
        <w:t xml:space="preserve">for </w:t>
      </w:r>
      <w:r w:rsidR="004853C7" w:rsidRPr="001215B9">
        <w:rPr>
          <w:rFonts w:ascii="Calibri" w:hAnsi="Calibri"/>
          <w:spacing w:val="-1"/>
        </w:rPr>
        <w:t xml:space="preserve">those </w:t>
      </w:r>
      <w:r w:rsidR="00E11391" w:rsidRPr="001215B9">
        <w:rPr>
          <w:rFonts w:ascii="Calibri" w:hAnsi="Calibri"/>
          <w:spacing w:val="-1"/>
        </w:rPr>
        <w:t>categories detached from</w:t>
      </w:r>
      <w:r w:rsidR="008D5986" w:rsidRPr="001215B9">
        <w:rPr>
          <w:rFonts w:ascii="Calibri" w:hAnsi="Calibri"/>
          <w:spacing w:val="-1"/>
        </w:rPr>
        <w:t xml:space="preserve"> commercial presence.</w:t>
      </w:r>
      <w:r w:rsidR="00EA55C4">
        <w:rPr>
          <w:rFonts w:ascii="Calibri" w:hAnsi="Calibri"/>
          <w:spacing w:val="-1"/>
        </w:rPr>
        <w:t xml:space="preserve"> </w:t>
      </w:r>
      <w:r w:rsidR="008D5986" w:rsidRPr="001215B9">
        <w:rPr>
          <w:rFonts w:ascii="Calibri" w:hAnsi="Calibri"/>
          <w:spacing w:val="-1"/>
        </w:rPr>
        <w:t xml:space="preserve">The developments </w:t>
      </w:r>
      <w:r w:rsidR="00620B95" w:rsidRPr="001215B9">
        <w:rPr>
          <w:rFonts w:ascii="Calibri" w:hAnsi="Calibri"/>
          <w:spacing w:val="-1"/>
        </w:rPr>
        <w:t>occurring</w:t>
      </w:r>
      <w:r w:rsidR="008D5986" w:rsidRPr="001215B9">
        <w:rPr>
          <w:rFonts w:ascii="Calibri" w:hAnsi="Calibri"/>
          <w:spacing w:val="-1"/>
        </w:rPr>
        <w:t xml:space="preserve"> in bilateral and regional agreements are </w:t>
      </w:r>
      <w:r w:rsidR="00620B95" w:rsidRPr="001215B9">
        <w:rPr>
          <w:rFonts w:ascii="Calibri" w:hAnsi="Calibri"/>
          <w:spacing w:val="-1"/>
        </w:rPr>
        <w:t>reviewed in the next section.</w:t>
      </w:r>
    </w:p>
    <w:p w14:paraId="5F3B76BC" w14:textId="77777777" w:rsidR="00620B95" w:rsidRPr="001215B9" w:rsidRDefault="00620B95" w:rsidP="001215B9">
      <w:pPr>
        <w:spacing w:after="120" w:line="360" w:lineRule="auto"/>
        <w:jc w:val="both"/>
        <w:rPr>
          <w:rFonts w:ascii="Calibri" w:hAnsi="Calibri"/>
          <w:spacing w:val="-1"/>
        </w:rPr>
      </w:pPr>
    </w:p>
    <w:p w14:paraId="074704CF" w14:textId="77777777" w:rsidR="00662AC2" w:rsidRPr="001215B9" w:rsidRDefault="002021FF" w:rsidP="001215B9">
      <w:pPr>
        <w:spacing w:after="120" w:line="360" w:lineRule="auto"/>
        <w:jc w:val="both"/>
        <w:rPr>
          <w:rFonts w:ascii="Calibri" w:hAnsi="Calibri" w:cs="Times New Roman"/>
          <w:b/>
          <w:lang w:val="en-US"/>
        </w:rPr>
      </w:pPr>
      <w:r>
        <w:rPr>
          <w:rFonts w:ascii="Calibri" w:hAnsi="Calibri" w:cs="Times New Roman"/>
          <w:b/>
          <w:lang w:val="en-US"/>
        </w:rPr>
        <w:t>'Mode 4' in plurilateral and bilateral free trade agreements</w:t>
      </w:r>
    </w:p>
    <w:p w14:paraId="4A902C00" w14:textId="77777777" w:rsidR="00662AC2" w:rsidRPr="001215B9" w:rsidRDefault="00662AC2" w:rsidP="001215B9">
      <w:pPr>
        <w:spacing w:after="120" w:line="360" w:lineRule="auto"/>
        <w:jc w:val="both"/>
        <w:rPr>
          <w:rFonts w:ascii="Calibri" w:hAnsi="Calibri" w:cs="Times New Roman"/>
          <w:i/>
          <w:lang w:val="en-US"/>
        </w:rPr>
      </w:pPr>
      <w:r w:rsidRPr="001215B9">
        <w:rPr>
          <w:rFonts w:ascii="Calibri" w:hAnsi="Calibri" w:cs="Times New Roman"/>
          <w:i/>
          <w:lang w:val="en-US"/>
        </w:rPr>
        <w:t xml:space="preserve">Towards a plurilateral Services Agreement </w:t>
      </w:r>
    </w:p>
    <w:p w14:paraId="17F4DBB0" w14:textId="3DA870DD" w:rsidR="00662AC2" w:rsidRPr="001215B9" w:rsidRDefault="00662AC2" w:rsidP="001215B9">
      <w:pPr>
        <w:spacing w:after="120" w:line="360" w:lineRule="auto"/>
        <w:jc w:val="both"/>
        <w:rPr>
          <w:rFonts w:ascii="Calibri" w:hAnsi="Calibri"/>
          <w:lang w:val="en-US"/>
        </w:rPr>
      </w:pPr>
      <w:r w:rsidRPr="001215B9">
        <w:rPr>
          <w:rFonts w:ascii="Calibri" w:hAnsi="Calibri" w:cs="Times New Roman"/>
          <w:lang w:val="en-US"/>
        </w:rPr>
        <w:t xml:space="preserve">While progress in the DDA of the WTO has been stalled, representatives of initially 16 industrialized and advanced developing countries have decided to move forward the trade agenda in services and develop a plurilateral forum that would follow closely the GATS provisions, but operate outside the WTO  (Hufbauer et al. 2012). </w:t>
      </w:r>
      <w:r w:rsidR="00B23A6F">
        <w:rPr>
          <w:rFonts w:ascii="Calibri" w:hAnsi="Calibri" w:cs="Times New Roman"/>
          <w:lang w:val="en-US"/>
        </w:rPr>
        <w:t>Official negotiations for</w:t>
      </w:r>
      <w:r w:rsidRPr="001215B9">
        <w:rPr>
          <w:rFonts w:ascii="Calibri" w:hAnsi="Calibri" w:cs="Times New Roman"/>
          <w:lang w:val="en-US"/>
        </w:rPr>
        <w:t xml:space="preserve"> this Trade in Service Agreement (TiSA) were launched in 2013. Service industries from the EU, the US and India have </w:t>
      </w:r>
      <w:r w:rsidR="00DE5386">
        <w:rPr>
          <w:rFonts w:ascii="Calibri" w:hAnsi="Calibri" w:cs="Times New Roman"/>
          <w:lang w:val="en-US"/>
        </w:rPr>
        <w:t xml:space="preserve">rushed to </w:t>
      </w:r>
      <w:r w:rsidRPr="001215B9">
        <w:rPr>
          <w:rFonts w:ascii="Calibri" w:hAnsi="Calibri" w:cs="Times New Roman"/>
          <w:lang w:val="en-US"/>
        </w:rPr>
        <w:t xml:space="preserve">deposit position papers with the European Commission and the European Parliament. Interestingly, whereas during the WTO Uruguay round negotiations, it was the European Services Forum or the US associations engaged in lobbying, today, they have been joined by NASSCOM, the Indian </w:t>
      </w:r>
      <w:r w:rsidR="00E834A2">
        <w:rPr>
          <w:rFonts w:ascii="Calibri" w:hAnsi="Calibri" w:cs="Times New Roman"/>
          <w:lang w:val="en-US"/>
        </w:rPr>
        <w:t xml:space="preserve">IT </w:t>
      </w:r>
      <w:r w:rsidRPr="001215B9">
        <w:rPr>
          <w:rFonts w:ascii="Calibri" w:hAnsi="Calibri" w:cs="Times New Roman"/>
          <w:lang w:val="en-US"/>
        </w:rPr>
        <w:t>industry association</w:t>
      </w:r>
      <w:r w:rsidRPr="001215B9">
        <w:rPr>
          <w:rFonts w:ascii="Calibri" w:hAnsi="Calibri"/>
          <w:lang w:val="en-US"/>
        </w:rPr>
        <w:t>.</w:t>
      </w:r>
      <w:r w:rsidRPr="001215B9">
        <w:rPr>
          <w:rStyle w:val="Funotenzeichen"/>
          <w:rFonts w:ascii="Calibri" w:hAnsi="Calibri"/>
          <w:lang w:val="en-US"/>
        </w:rPr>
        <w:footnoteReference w:id="17"/>
      </w:r>
      <w:r w:rsidRPr="001215B9">
        <w:rPr>
          <w:rFonts w:ascii="Calibri" w:hAnsi="Calibri"/>
          <w:lang w:val="en-US"/>
        </w:rPr>
        <w:t xml:space="preserve"> Contrary to the Indian government's position in multilateral negotiations, however, these position pa</w:t>
      </w:r>
      <w:r w:rsidR="008E281D">
        <w:rPr>
          <w:rFonts w:ascii="Calibri" w:hAnsi="Calibri"/>
          <w:lang w:val="en-US"/>
        </w:rPr>
        <w:t xml:space="preserve">pers essentially focus on "mode </w:t>
      </w:r>
      <w:r w:rsidRPr="001215B9">
        <w:rPr>
          <w:rFonts w:ascii="Calibri" w:hAnsi="Calibri"/>
          <w:lang w:val="en-US"/>
        </w:rPr>
        <w:t>3"</w:t>
      </w:r>
      <w:r w:rsidR="006864EF">
        <w:rPr>
          <w:rFonts w:ascii="Calibri" w:hAnsi="Calibri"/>
          <w:lang w:val="en-US"/>
        </w:rPr>
        <w:t>-</w:t>
      </w:r>
      <w:r w:rsidRPr="001215B9">
        <w:rPr>
          <w:rFonts w:ascii="Calibri" w:hAnsi="Calibri"/>
          <w:lang w:val="en-US"/>
        </w:rPr>
        <w:t>mobility and highly</w:t>
      </w:r>
      <w:r w:rsidR="0054783B">
        <w:rPr>
          <w:rFonts w:ascii="Calibri" w:hAnsi="Calibri"/>
          <w:lang w:val="en-US"/>
        </w:rPr>
        <w:t>-</w:t>
      </w:r>
      <w:r w:rsidRPr="001215B9">
        <w:rPr>
          <w:rFonts w:ascii="Calibri" w:hAnsi="Calibri"/>
          <w:lang w:val="en-US"/>
        </w:rPr>
        <w:t>skilled professionals</w:t>
      </w:r>
      <w:r w:rsidR="00A97BA4">
        <w:rPr>
          <w:rFonts w:ascii="Calibri" w:hAnsi="Calibri"/>
          <w:lang w:val="en-US"/>
        </w:rPr>
        <w:t>,</w:t>
      </w:r>
      <w:r w:rsidRPr="001215B9">
        <w:rPr>
          <w:rFonts w:ascii="Calibri" w:hAnsi="Calibri"/>
          <w:lang w:val="en-US"/>
        </w:rPr>
        <w:t xml:space="preserve"> categories traditionally supported by the industrialized countries.</w:t>
      </w:r>
      <w:r w:rsidR="00EA55C4">
        <w:rPr>
          <w:rFonts w:ascii="Calibri" w:hAnsi="Calibri"/>
          <w:lang w:val="en-US"/>
        </w:rPr>
        <w:t xml:space="preserve"> </w:t>
      </w:r>
      <w:r w:rsidRPr="001215B9">
        <w:rPr>
          <w:rFonts w:ascii="Calibri" w:hAnsi="Calibri" w:cs="Times New Roman"/>
          <w:lang w:val="en-US"/>
        </w:rPr>
        <w:t>Notwithstanding NASSCOM's participation in this lobby coalition, India and all other BRICS countries are absent from the TiSA</w:t>
      </w:r>
      <w:r w:rsidR="00EA55C4">
        <w:rPr>
          <w:rFonts w:ascii="Calibri" w:hAnsi="Calibri" w:cs="Times New Roman"/>
          <w:lang w:val="en-US"/>
        </w:rPr>
        <w:t xml:space="preserve"> </w:t>
      </w:r>
      <w:r w:rsidR="00BF5DEE">
        <w:rPr>
          <w:rFonts w:ascii="Calibri" w:hAnsi="Calibri" w:cs="Times New Roman"/>
          <w:lang w:val="en-US"/>
        </w:rPr>
        <w:t>negotiations</w:t>
      </w:r>
      <w:r w:rsidR="00175D52">
        <w:rPr>
          <w:rFonts w:ascii="Calibri" w:hAnsi="Calibri" w:cs="Times New Roman"/>
          <w:lang w:val="en-US"/>
        </w:rPr>
        <w:t xml:space="preserve">, </w:t>
      </w:r>
      <w:r w:rsidRPr="001215B9">
        <w:rPr>
          <w:rFonts w:ascii="Calibri" w:hAnsi="Calibri" w:cs="Times New Roman"/>
          <w:lang w:val="en-US"/>
        </w:rPr>
        <w:t>at least so far</w:t>
      </w:r>
      <w:r w:rsidR="008E281D">
        <w:rPr>
          <w:rStyle w:val="Funotenzeichen"/>
          <w:rFonts w:ascii="Calibri" w:hAnsi="Calibri" w:cs="Times New Roman"/>
          <w:lang w:val="en-US"/>
        </w:rPr>
        <w:footnoteReference w:id="18"/>
      </w:r>
      <w:r w:rsidRPr="001215B9">
        <w:rPr>
          <w:rFonts w:ascii="Calibri" w:hAnsi="Calibri" w:cs="Times New Roman"/>
          <w:lang w:val="en-US"/>
        </w:rPr>
        <w:t xml:space="preserve">. Governments </w:t>
      </w:r>
      <w:r w:rsidR="00720B13">
        <w:rPr>
          <w:rFonts w:ascii="Calibri" w:hAnsi="Calibri" w:cs="Times New Roman"/>
          <w:lang w:val="en-US"/>
        </w:rPr>
        <w:t xml:space="preserve">in developing countries </w:t>
      </w:r>
      <w:r w:rsidRPr="001215B9">
        <w:rPr>
          <w:rFonts w:ascii="Calibri" w:hAnsi="Calibri" w:cs="Times New Roman"/>
          <w:lang w:val="en-US"/>
        </w:rPr>
        <w:t xml:space="preserve">have </w:t>
      </w:r>
      <w:r w:rsidR="00720B13">
        <w:rPr>
          <w:rFonts w:ascii="Calibri" w:hAnsi="Calibri" w:cs="Times New Roman"/>
          <w:lang w:val="en-US"/>
        </w:rPr>
        <w:t xml:space="preserve">long </w:t>
      </w:r>
      <w:r w:rsidR="00720B13" w:rsidRPr="001215B9">
        <w:rPr>
          <w:rFonts w:ascii="Calibri" w:hAnsi="Calibri" w:cs="Times New Roman"/>
          <w:lang w:val="en-US"/>
        </w:rPr>
        <w:t>oppose</w:t>
      </w:r>
      <w:r w:rsidR="00720B13">
        <w:rPr>
          <w:rFonts w:ascii="Calibri" w:hAnsi="Calibri" w:cs="Times New Roman"/>
          <w:lang w:val="en-US"/>
        </w:rPr>
        <w:t>d</w:t>
      </w:r>
      <w:r w:rsidRPr="001215B9">
        <w:rPr>
          <w:rFonts w:ascii="Calibri" w:hAnsi="Calibri" w:cs="Times New Roman"/>
          <w:lang w:val="en-US"/>
        </w:rPr>
        <w:t xml:space="preserve"> a plurilateral agreement outside the WTO as this would relinquish the objective of a ‘single undertaking’ for the Doha Round and would diminish their negotiating power. Trade ministers from Brazil, India, and South Africa have ardently argued that such a plurilateral </w:t>
      </w:r>
      <w:r w:rsidRPr="001215B9">
        <w:rPr>
          <w:rFonts w:ascii="Calibri" w:hAnsi="Calibri" w:cs="Times New Roman"/>
          <w:lang w:val="en-US"/>
        </w:rPr>
        <w:lastRenderedPageBreak/>
        <w:t>approach would “go against fundamental principles of transparency, inclusiveness and multilateralism” (Hufbauer et al. 2012: 2). The non</w:t>
      </w:r>
      <w:r w:rsidR="00EA55C4">
        <w:rPr>
          <w:rFonts w:ascii="Calibri" w:hAnsi="Calibri" w:cs="Times New Roman"/>
          <w:lang w:val="en-US"/>
        </w:rPr>
        <w:t xml:space="preserve"> </w:t>
      </w:r>
      <w:r w:rsidRPr="001215B9">
        <w:rPr>
          <w:rFonts w:ascii="Calibri" w:hAnsi="Calibri" w:cs="Times New Roman"/>
          <w:lang w:val="en-US"/>
        </w:rPr>
        <w:t xml:space="preserve">involvement of BRICS countries might as well be interpreted as a sign of “disagreement” with existing multilateral priorities in trade in services that </w:t>
      </w:r>
      <w:r w:rsidR="00FF27E2">
        <w:rPr>
          <w:rFonts w:ascii="Calibri" w:hAnsi="Calibri" w:cs="Times New Roman"/>
          <w:lang w:val="en-US"/>
        </w:rPr>
        <w:t xml:space="preserve">mainly </w:t>
      </w:r>
      <w:r w:rsidRPr="001215B9">
        <w:rPr>
          <w:rFonts w:ascii="Calibri" w:hAnsi="Calibri" w:cs="Times New Roman"/>
          <w:lang w:val="en-US"/>
        </w:rPr>
        <w:t>reflect developed countries interests</w:t>
      </w:r>
      <w:r w:rsidR="00720B13">
        <w:rPr>
          <w:rFonts w:ascii="Calibri" w:hAnsi="Calibri" w:cs="Times New Roman"/>
          <w:lang w:val="en-US"/>
        </w:rPr>
        <w:t>.</w:t>
      </w:r>
      <w:r w:rsidR="00EA55C4">
        <w:rPr>
          <w:rFonts w:ascii="Calibri" w:hAnsi="Calibri" w:cs="Times New Roman"/>
          <w:lang w:val="en-US"/>
        </w:rPr>
        <w:t xml:space="preserve"> </w:t>
      </w:r>
      <w:r w:rsidRPr="001215B9">
        <w:rPr>
          <w:rFonts w:ascii="Calibri" w:hAnsi="Calibri" w:cs="Times New Roman"/>
          <w:lang w:val="en-US"/>
        </w:rPr>
        <w:t>Nevertheless, as one of the interview partners from the Mexican government argued, this initiative could achieve positive results for the mobility of service providers in a relatively short time frame and could eventually serve as a basis for future multilateral negotiations (</w:t>
      </w:r>
      <w:r w:rsidR="00561320" w:rsidRPr="00612C20">
        <w:rPr>
          <w:rFonts w:ascii="Calibri" w:hAnsi="Calibri" w:cs="Times New Roman"/>
          <w:lang w:val="en-US"/>
        </w:rPr>
        <w:t>I</w:t>
      </w:r>
      <w:r w:rsidRPr="00612C20">
        <w:rPr>
          <w:rFonts w:ascii="Calibri" w:hAnsi="Calibri" w:cs="Times New Roman"/>
          <w:lang w:val="en-US"/>
        </w:rPr>
        <w:t>nt</w:t>
      </w:r>
      <w:r w:rsidR="00AB6C79" w:rsidRPr="00612C20">
        <w:rPr>
          <w:rFonts w:ascii="Calibri" w:hAnsi="Calibri" w:cs="Times New Roman"/>
          <w:lang w:val="en-US"/>
        </w:rPr>
        <w:t>er</w:t>
      </w:r>
      <w:r w:rsidR="00561320" w:rsidRPr="00612C20">
        <w:rPr>
          <w:rFonts w:ascii="Calibri" w:hAnsi="Calibri" w:cs="Times New Roman"/>
          <w:lang w:val="en-US"/>
        </w:rPr>
        <w:t>view 2</w:t>
      </w:r>
      <w:r w:rsidRPr="001215B9">
        <w:rPr>
          <w:rFonts w:ascii="Calibri" w:hAnsi="Calibri" w:cs="Times New Roman"/>
          <w:lang w:val="en-US"/>
        </w:rPr>
        <w:t>). And, in fact, interviews with public officials and industry associations in India suggest that the proclaimed opposition might be less solid and that the government's position is rather one of "wait and see"(</w:t>
      </w:r>
      <w:r w:rsidR="00AB6C79" w:rsidRPr="00612C20">
        <w:rPr>
          <w:rFonts w:ascii="Calibri" w:hAnsi="Calibri" w:cs="Times New Roman"/>
          <w:lang w:val="en-US"/>
        </w:rPr>
        <w:t>Interviews 3, 4, 5, 6</w:t>
      </w:r>
      <w:r w:rsidRPr="001215B9">
        <w:rPr>
          <w:rFonts w:ascii="Calibri" w:hAnsi="Calibri" w:cs="Times New Roman"/>
          <w:lang w:val="en-US"/>
        </w:rPr>
        <w:t xml:space="preserve">). Meanwhile, more developments have occurred in bilateral FTAs. </w:t>
      </w:r>
    </w:p>
    <w:p w14:paraId="279CA0B1" w14:textId="77777777" w:rsidR="00662AC2" w:rsidRPr="001215B9" w:rsidRDefault="00662AC2" w:rsidP="001215B9">
      <w:pPr>
        <w:spacing w:after="120" w:line="360" w:lineRule="auto"/>
        <w:jc w:val="both"/>
        <w:rPr>
          <w:rFonts w:ascii="Calibri" w:hAnsi="Calibri" w:cs="Times New Roman"/>
          <w:i/>
          <w:lang w:val="en-US"/>
        </w:rPr>
      </w:pPr>
    </w:p>
    <w:p w14:paraId="3ECD7128" w14:textId="7A9EC116" w:rsidR="00662AC2" w:rsidRPr="001215B9" w:rsidRDefault="00662AC2" w:rsidP="001215B9">
      <w:pPr>
        <w:spacing w:after="120" w:line="360" w:lineRule="auto"/>
        <w:jc w:val="both"/>
        <w:rPr>
          <w:rFonts w:ascii="Calibri" w:hAnsi="Calibri" w:cs="Times New Roman"/>
          <w:lang w:val="en-US"/>
        </w:rPr>
      </w:pPr>
      <w:r w:rsidRPr="001215B9">
        <w:rPr>
          <w:rFonts w:ascii="Calibri" w:hAnsi="Calibri" w:cs="Times New Roman"/>
          <w:i/>
          <w:lang w:val="en-US"/>
        </w:rPr>
        <w:t>Evolving mobility provisions in bilateral FTA</w:t>
      </w:r>
      <w:r w:rsidR="001F09EA" w:rsidRPr="001215B9">
        <w:rPr>
          <w:rFonts w:ascii="Calibri" w:hAnsi="Calibri" w:cs="Times New Roman"/>
          <w:i/>
          <w:lang w:val="en-US"/>
        </w:rPr>
        <w:t>s</w:t>
      </w:r>
      <w:r w:rsidR="001B69D7">
        <w:rPr>
          <w:rStyle w:val="Funotenzeichen"/>
          <w:rFonts w:ascii="Calibri" w:hAnsi="Calibri" w:cs="Times New Roman"/>
          <w:i/>
          <w:lang w:val="en-US"/>
        </w:rPr>
        <w:footnoteReference w:id="19"/>
      </w:r>
    </w:p>
    <w:p w14:paraId="6A7AD09D" w14:textId="4A51B185" w:rsidR="00662AC2" w:rsidRPr="001215B9" w:rsidRDefault="00662AC2" w:rsidP="0009460D">
      <w:pPr>
        <w:spacing w:after="120" w:line="360" w:lineRule="auto"/>
        <w:jc w:val="both"/>
        <w:rPr>
          <w:rFonts w:ascii="Calibri" w:hAnsi="Calibri"/>
        </w:rPr>
      </w:pPr>
      <w:r w:rsidRPr="001215B9">
        <w:rPr>
          <w:rFonts w:ascii="Calibri" w:hAnsi="Calibri" w:cs="Times New Roman"/>
          <w:lang w:val="en-US"/>
        </w:rPr>
        <w:t>The proliferation of bilateral FTAs yields some dynamics in mode 4 commitments. At this level we</w:t>
      </w:r>
      <w:r w:rsidR="002E0321">
        <w:rPr>
          <w:rFonts w:ascii="Calibri" w:hAnsi="Calibri" w:cs="Times New Roman"/>
          <w:lang w:val="en-US"/>
        </w:rPr>
        <w:t xml:space="preserve"> also</w:t>
      </w:r>
      <w:r w:rsidR="00EA55C4">
        <w:rPr>
          <w:rFonts w:ascii="Calibri" w:hAnsi="Calibri" w:cs="Times New Roman"/>
          <w:lang w:val="en-US"/>
        </w:rPr>
        <w:t xml:space="preserve"> </w:t>
      </w:r>
      <w:r w:rsidR="005030F7">
        <w:rPr>
          <w:rFonts w:ascii="Calibri" w:hAnsi="Calibri" w:cs="Times New Roman"/>
          <w:lang w:val="en-US"/>
        </w:rPr>
        <w:t xml:space="preserve">find </w:t>
      </w:r>
      <w:r w:rsidRPr="001215B9">
        <w:rPr>
          <w:rFonts w:ascii="Calibri" w:hAnsi="Calibri" w:cs="Times New Roman"/>
          <w:lang w:val="en-US"/>
        </w:rPr>
        <w:t xml:space="preserve">commitments on semi-skilled or lower-skilled migrants. Below, Figure 1 and Table 2 compare the commitments undergone by the US, the EU and </w:t>
      </w:r>
      <w:r w:rsidR="007E0284">
        <w:rPr>
          <w:rFonts w:ascii="Calibri" w:hAnsi="Calibri" w:cs="Times New Roman"/>
          <w:lang w:val="en-US"/>
        </w:rPr>
        <w:t>India</w:t>
      </w:r>
      <w:r w:rsidR="00EA55C4">
        <w:rPr>
          <w:rFonts w:ascii="Calibri" w:hAnsi="Calibri" w:cs="Times New Roman"/>
          <w:lang w:val="en-US"/>
        </w:rPr>
        <w:t xml:space="preserve"> </w:t>
      </w:r>
      <w:r w:rsidR="008E5282" w:rsidRPr="001215B9">
        <w:rPr>
          <w:rFonts w:ascii="Calibri" w:hAnsi="Calibri" w:cs="Times New Roman"/>
          <w:lang w:val="en-US"/>
        </w:rPr>
        <w:t xml:space="preserve">in </w:t>
      </w:r>
      <w:r w:rsidRPr="001215B9">
        <w:rPr>
          <w:rFonts w:ascii="Calibri" w:hAnsi="Calibri" w:cs="Times New Roman"/>
          <w:lang w:val="en-US"/>
        </w:rPr>
        <w:t>bilateral FTAs (only those covering services)</w:t>
      </w:r>
      <w:r w:rsidR="00C94A72">
        <w:rPr>
          <w:rFonts w:ascii="Calibri" w:hAnsi="Calibri" w:cs="Times New Roman"/>
          <w:lang w:val="en-US"/>
        </w:rPr>
        <w:t>.</w:t>
      </w:r>
    </w:p>
    <w:p w14:paraId="04A20303" w14:textId="77777777" w:rsidR="00562D7E" w:rsidRDefault="00562D7E" w:rsidP="001215B9">
      <w:pPr>
        <w:spacing w:after="120" w:line="360" w:lineRule="auto"/>
        <w:jc w:val="both"/>
        <w:rPr>
          <w:rFonts w:ascii="Calibri" w:hAnsi="Calibri"/>
          <w:i/>
        </w:rPr>
      </w:pPr>
    </w:p>
    <w:p w14:paraId="565A33C0" w14:textId="77777777" w:rsidR="00562D7E" w:rsidRDefault="00562D7E" w:rsidP="001215B9">
      <w:pPr>
        <w:spacing w:after="120" w:line="360" w:lineRule="auto"/>
        <w:jc w:val="both"/>
        <w:rPr>
          <w:rFonts w:ascii="Calibri" w:hAnsi="Calibri"/>
          <w:i/>
        </w:rPr>
      </w:pPr>
      <w:r>
        <w:rPr>
          <w:noProof/>
          <w:lang w:val="de-CH" w:eastAsia="de-CH"/>
        </w:rPr>
        <w:drawing>
          <wp:inline distT="0" distB="0" distL="0" distR="0" wp14:anchorId="2E806D0B" wp14:editId="0FE3FB8B">
            <wp:extent cx="4572000" cy="274320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80264A" w14:textId="77777777" w:rsidR="00662AC2" w:rsidRDefault="00662AC2" w:rsidP="001215B9">
      <w:pPr>
        <w:spacing w:after="120" w:line="360" w:lineRule="auto"/>
        <w:jc w:val="both"/>
        <w:rPr>
          <w:rFonts w:ascii="Calibri" w:hAnsi="Calibri"/>
          <w:i/>
        </w:rPr>
      </w:pPr>
      <w:r w:rsidRPr="001215B9">
        <w:rPr>
          <w:rFonts w:ascii="Calibri" w:hAnsi="Calibri"/>
          <w:i/>
        </w:rPr>
        <w:t xml:space="preserve">Figure </w:t>
      </w:r>
      <w:r w:rsidR="008B6753" w:rsidRPr="001215B9">
        <w:rPr>
          <w:rFonts w:ascii="Calibri" w:eastAsia="Times New Roman" w:hAnsi="Calibri" w:cs="Times New Roman"/>
          <w:b/>
          <w:bCs/>
          <w:i/>
          <w:lang w:eastAsia="de-CH"/>
        </w:rPr>
        <w:fldChar w:fldCharType="begin"/>
      </w:r>
      <w:r w:rsidRPr="001215B9">
        <w:rPr>
          <w:rFonts w:ascii="Calibri" w:hAnsi="Calibri"/>
          <w:i/>
        </w:rPr>
        <w:instrText xml:space="preserve"> SEQ Figure \* ARABIC </w:instrText>
      </w:r>
      <w:r w:rsidR="008B6753" w:rsidRPr="001215B9">
        <w:rPr>
          <w:rFonts w:ascii="Calibri" w:eastAsia="Times New Roman" w:hAnsi="Calibri" w:cs="Times New Roman"/>
          <w:b/>
          <w:bCs/>
          <w:i/>
          <w:lang w:eastAsia="de-CH"/>
        </w:rPr>
        <w:fldChar w:fldCharType="separate"/>
      </w:r>
      <w:r w:rsidR="00794929">
        <w:rPr>
          <w:rFonts w:ascii="Calibri" w:hAnsi="Calibri"/>
          <w:i/>
          <w:noProof/>
        </w:rPr>
        <w:t>1</w:t>
      </w:r>
      <w:r w:rsidR="008B6753" w:rsidRPr="001215B9">
        <w:rPr>
          <w:rFonts w:ascii="Calibri" w:eastAsia="Times New Roman" w:hAnsi="Calibri" w:cs="Times New Roman"/>
          <w:b/>
          <w:bCs/>
          <w:i/>
          <w:lang w:eastAsia="de-CH"/>
        </w:rPr>
        <w:fldChar w:fldCharType="end"/>
      </w:r>
      <w:r w:rsidRPr="001215B9">
        <w:rPr>
          <w:rFonts w:ascii="Calibri" w:hAnsi="Calibri"/>
          <w:i/>
        </w:rPr>
        <w:t xml:space="preserve"> Mobility-related provisions in </w:t>
      </w:r>
      <w:r w:rsidR="007E0284">
        <w:rPr>
          <w:rFonts w:ascii="Calibri" w:hAnsi="Calibri"/>
          <w:i/>
        </w:rPr>
        <w:t>US, EU and Indian Bilateral Free</w:t>
      </w:r>
      <w:r w:rsidRPr="001215B9">
        <w:rPr>
          <w:rFonts w:ascii="Calibri" w:hAnsi="Calibri"/>
          <w:i/>
        </w:rPr>
        <w:t xml:space="preserve"> Trade Agreements (numbers in brackets indicate the total number of FTAs) </w:t>
      </w:r>
    </w:p>
    <w:p w14:paraId="1849C10C" w14:textId="77777777" w:rsidR="007E0284" w:rsidRDefault="007E0284" w:rsidP="00541582">
      <w:pPr>
        <w:spacing w:after="120" w:line="360" w:lineRule="auto"/>
        <w:jc w:val="both"/>
        <w:rPr>
          <w:rFonts w:ascii="Calibri" w:hAnsi="Calibri" w:cs="Times New Roman"/>
          <w:lang w:val="en-US"/>
        </w:rPr>
      </w:pPr>
    </w:p>
    <w:p w14:paraId="607FACDE" w14:textId="29A7E9D9" w:rsidR="00662AC2" w:rsidRPr="001215B9" w:rsidRDefault="00613B27" w:rsidP="00541582">
      <w:pPr>
        <w:spacing w:after="120" w:line="360" w:lineRule="auto"/>
        <w:jc w:val="both"/>
        <w:rPr>
          <w:rFonts w:ascii="Calibri" w:hAnsi="Calibri" w:cs="Times New Roman"/>
          <w:lang w:val="en-US"/>
        </w:rPr>
      </w:pPr>
      <w:r w:rsidRPr="001215B9">
        <w:rPr>
          <w:rFonts w:ascii="Calibri" w:hAnsi="Calibri" w:cs="Times New Roman"/>
          <w:lang w:val="en-US"/>
        </w:rPr>
        <w:t xml:space="preserve">Figure 1 shows </w:t>
      </w:r>
      <w:r w:rsidR="008E0453">
        <w:rPr>
          <w:rFonts w:ascii="Calibri" w:hAnsi="Calibri" w:cs="Times New Roman"/>
          <w:lang w:val="en-US"/>
        </w:rPr>
        <w:t>the frequency of</w:t>
      </w:r>
      <w:r w:rsidRPr="001215B9">
        <w:rPr>
          <w:rFonts w:ascii="Calibri" w:hAnsi="Calibri" w:cs="Times New Roman"/>
          <w:lang w:val="en-US"/>
        </w:rPr>
        <w:t xml:space="preserve"> commitments </w:t>
      </w:r>
      <w:r w:rsidR="0010463D">
        <w:rPr>
          <w:rFonts w:ascii="Calibri" w:hAnsi="Calibri" w:cs="Times New Roman"/>
          <w:lang w:val="en-US"/>
        </w:rPr>
        <w:t xml:space="preserve">of </w:t>
      </w:r>
      <w:r w:rsidRPr="001215B9">
        <w:rPr>
          <w:rFonts w:ascii="Calibri" w:hAnsi="Calibri" w:cs="Times New Roman"/>
          <w:lang w:val="en-US"/>
        </w:rPr>
        <w:t xml:space="preserve">the different categories of service providers </w:t>
      </w:r>
      <w:r w:rsidR="0010463D" w:rsidRPr="001215B9">
        <w:rPr>
          <w:rFonts w:ascii="Calibri" w:hAnsi="Calibri" w:cs="Times New Roman"/>
          <w:lang w:val="en-US"/>
        </w:rPr>
        <w:t xml:space="preserve">taken on </w:t>
      </w:r>
      <w:r w:rsidR="0010463D">
        <w:rPr>
          <w:rFonts w:ascii="Calibri" w:hAnsi="Calibri" w:cs="Times New Roman"/>
          <w:lang w:val="en-US"/>
        </w:rPr>
        <w:t xml:space="preserve">by </w:t>
      </w:r>
      <w:r w:rsidR="005A1B0B">
        <w:rPr>
          <w:rFonts w:ascii="Calibri" w:hAnsi="Calibri" w:cs="Times New Roman"/>
          <w:lang w:val="en-US"/>
        </w:rPr>
        <w:t xml:space="preserve">the analyzed cases </w:t>
      </w:r>
      <w:r w:rsidRPr="001215B9">
        <w:rPr>
          <w:rFonts w:ascii="Calibri" w:hAnsi="Calibri" w:cs="Times New Roman"/>
          <w:lang w:val="en-US"/>
        </w:rPr>
        <w:t>in their concluded FTAs</w:t>
      </w:r>
      <w:r>
        <w:rPr>
          <w:rFonts w:ascii="Calibri" w:hAnsi="Calibri" w:cs="Times New Roman"/>
          <w:lang w:val="en-US"/>
        </w:rPr>
        <w:t>.</w:t>
      </w:r>
      <w:r>
        <w:rPr>
          <w:rStyle w:val="Funotenzeichen"/>
          <w:rFonts w:ascii="Calibri" w:hAnsi="Calibri" w:cs="Times New Roman"/>
          <w:lang w:val="en-US"/>
        </w:rPr>
        <w:footnoteReference w:id="20"/>
      </w:r>
      <w:r>
        <w:rPr>
          <w:rFonts w:ascii="Calibri" w:hAnsi="Calibri" w:cs="Times New Roman"/>
          <w:lang w:val="en-US"/>
        </w:rPr>
        <w:t xml:space="preserve"> A</w:t>
      </w:r>
      <w:r w:rsidR="00662AC2" w:rsidRPr="001215B9">
        <w:rPr>
          <w:rFonts w:ascii="Calibri" w:hAnsi="Calibri" w:cs="Times New Roman"/>
          <w:lang w:val="en-US"/>
        </w:rPr>
        <w:t>t a first glance</w:t>
      </w:r>
      <w:r>
        <w:rPr>
          <w:rFonts w:ascii="Calibri" w:hAnsi="Calibri" w:cs="Times New Roman"/>
          <w:lang w:val="en-US"/>
        </w:rPr>
        <w:t>, it indicates</w:t>
      </w:r>
      <w:r w:rsidR="00662AC2" w:rsidRPr="001215B9">
        <w:rPr>
          <w:rFonts w:ascii="Calibri" w:hAnsi="Calibri" w:cs="Times New Roman"/>
          <w:lang w:val="en-US"/>
        </w:rPr>
        <w:t xml:space="preserve"> that </w:t>
      </w:r>
      <w:r w:rsidR="007E0284">
        <w:rPr>
          <w:rFonts w:ascii="Calibri" w:hAnsi="Calibri" w:cs="Times New Roman"/>
          <w:lang w:val="en-US"/>
        </w:rPr>
        <w:t xml:space="preserve">India </w:t>
      </w:r>
      <w:r w:rsidR="00662AC2" w:rsidRPr="001215B9">
        <w:rPr>
          <w:rFonts w:ascii="Calibri" w:hAnsi="Calibri" w:cs="Times New Roman"/>
          <w:lang w:val="en-US"/>
        </w:rPr>
        <w:t>include</w:t>
      </w:r>
      <w:r w:rsidR="007E0284">
        <w:rPr>
          <w:rFonts w:ascii="Calibri" w:hAnsi="Calibri" w:cs="Times New Roman"/>
          <w:lang w:val="en-US"/>
        </w:rPr>
        <w:t>s</w:t>
      </w:r>
      <w:r w:rsidR="00662AC2" w:rsidRPr="001215B9">
        <w:rPr>
          <w:rFonts w:ascii="Calibri" w:hAnsi="Calibri" w:cs="Times New Roman"/>
          <w:lang w:val="en-US"/>
        </w:rPr>
        <w:t xml:space="preserve"> </w:t>
      </w:r>
      <w:r w:rsidR="00662AC2" w:rsidRPr="001215B9">
        <w:rPr>
          <w:rFonts w:ascii="Calibri" w:hAnsi="Calibri" w:cs="Times New Roman"/>
          <w:lang w:val="en-US"/>
        </w:rPr>
        <w:lastRenderedPageBreak/>
        <w:t xml:space="preserve">systematically provisions on mode 4 in </w:t>
      </w:r>
      <w:r w:rsidR="007E0284">
        <w:rPr>
          <w:rFonts w:ascii="Calibri" w:hAnsi="Calibri" w:cs="Times New Roman"/>
          <w:lang w:val="en-US"/>
        </w:rPr>
        <w:t xml:space="preserve">its </w:t>
      </w:r>
      <w:r w:rsidR="00662AC2" w:rsidRPr="001215B9">
        <w:rPr>
          <w:rFonts w:ascii="Calibri" w:hAnsi="Calibri" w:cs="Times New Roman"/>
          <w:lang w:val="en-US"/>
        </w:rPr>
        <w:t xml:space="preserve">FTAs, whereas the EU and US have </w:t>
      </w:r>
      <w:r w:rsidR="00912E84">
        <w:rPr>
          <w:rFonts w:ascii="Calibri" w:hAnsi="Calibri" w:cs="Times New Roman"/>
          <w:lang w:val="en-US"/>
        </w:rPr>
        <w:t>fewer</w:t>
      </w:r>
      <w:r w:rsidR="00662AC2" w:rsidRPr="001215B9">
        <w:rPr>
          <w:rFonts w:ascii="Calibri" w:hAnsi="Calibri" w:cs="Times New Roman"/>
          <w:lang w:val="en-US"/>
        </w:rPr>
        <w:t>. India stands out with a full (100%) inclusion of mode 4 commitments regarding CSS</w:t>
      </w:r>
      <w:r w:rsidR="0091586A">
        <w:rPr>
          <w:rFonts w:ascii="Calibri" w:hAnsi="Calibri" w:cs="Times New Roman"/>
          <w:lang w:val="en-US"/>
        </w:rPr>
        <w:t>s</w:t>
      </w:r>
      <w:r w:rsidR="00662AC2" w:rsidRPr="001215B9">
        <w:rPr>
          <w:rFonts w:ascii="Calibri" w:hAnsi="Calibri" w:cs="Times New Roman"/>
          <w:lang w:val="en-US"/>
        </w:rPr>
        <w:t>, ICT</w:t>
      </w:r>
      <w:r w:rsidR="0091586A">
        <w:rPr>
          <w:rFonts w:ascii="Calibri" w:hAnsi="Calibri" w:cs="Times New Roman"/>
          <w:lang w:val="en-US"/>
        </w:rPr>
        <w:t>s</w:t>
      </w:r>
      <w:r w:rsidR="00662AC2" w:rsidRPr="001215B9">
        <w:rPr>
          <w:rFonts w:ascii="Calibri" w:hAnsi="Calibri" w:cs="Times New Roman"/>
          <w:lang w:val="en-US"/>
        </w:rPr>
        <w:t xml:space="preserve"> and BV</w:t>
      </w:r>
      <w:r w:rsidR="0091586A">
        <w:rPr>
          <w:rFonts w:ascii="Calibri" w:hAnsi="Calibri" w:cs="Times New Roman"/>
          <w:lang w:val="en-US"/>
        </w:rPr>
        <w:t>s</w:t>
      </w:r>
      <w:r w:rsidR="00662AC2" w:rsidRPr="001215B9">
        <w:rPr>
          <w:rFonts w:ascii="Calibri" w:hAnsi="Calibri" w:cs="Times New Roman"/>
          <w:lang w:val="en-US"/>
        </w:rPr>
        <w:t>, next to frequent commitments in other categories.</w:t>
      </w:r>
      <w:r w:rsidR="004E1B15" w:rsidRPr="001215B9">
        <w:rPr>
          <w:rFonts w:ascii="Calibri" w:hAnsi="Calibri" w:cs="Times New Roman"/>
          <w:lang w:val="en-US"/>
        </w:rPr>
        <w:t xml:space="preserve"> However, this has to be interpreted with caution</w:t>
      </w:r>
      <w:r w:rsidR="00A678A9">
        <w:rPr>
          <w:rFonts w:ascii="Calibri" w:hAnsi="Calibri" w:cs="Times New Roman"/>
          <w:lang w:val="en-US"/>
        </w:rPr>
        <w:t>, as</w:t>
      </w:r>
      <w:r w:rsidR="004E1B15" w:rsidRPr="001215B9">
        <w:rPr>
          <w:rFonts w:ascii="Calibri" w:hAnsi="Calibri" w:cs="Times New Roman"/>
          <w:lang w:val="en-US"/>
        </w:rPr>
        <w:t xml:space="preserve"> India has only conclude</w:t>
      </w:r>
      <w:r w:rsidR="00A678A9">
        <w:rPr>
          <w:rFonts w:ascii="Calibri" w:hAnsi="Calibri" w:cs="Times New Roman"/>
          <w:lang w:val="en-US"/>
        </w:rPr>
        <w:t>d</w:t>
      </w:r>
      <w:r w:rsidR="004E1B15" w:rsidRPr="001215B9">
        <w:rPr>
          <w:rFonts w:ascii="Calibri" w:hAnsi="Calibri" w:cs="Times New Roman"/>
          <w:lang w:val="en-US"/>
        </w:rPr>
        <w:t xml:space="preserve"> 4 FTAs </w:t>
      </w:r>
      <w:r w:rsidR="001F1A5D">
        <w:rPr>
          <w:rFonts w:ascii="Calibri" w:hAnsi="Calibri" w:cs="Times New Roman"/>
          <w:lang w:val="en-US"/>
        </w:rPr>
        <w:t xml:space="preserve">so far </w:t>
      </w:r>
      <w:r w:rsidR="004E1B15" w:rsidRPr="001215B9">
        <w:rPr>
          <w:rFonts w:ascii="Calibri" w:hAnsi="Calibri" w:cs="Times New Roman"/>
          <w:lang w:val="en-US"/>
        </w:rPr>
        <w:t>that cover services.</w:t>
      </w:r>
    </w:p>
    <w:p w14:paraId="1D17B3BE" w14:textId="0DD61D5A" w:rsidR="00734497" w:rsidRPr="001215B9" w:rsidRDefault="00662AC2" w:rsidP="001215B9">
      <w:pPr>
        <w:spacing w:after="120" w:line="360" w:lineRule="auto"/>
        <w:jc w:val="both"/>
        <w:rPr>
          <w:rFonts w:ascii="Calibri" w:hAnsi="Calibri" w:cs="Times New Roman"/>
          <w:lang w:val="en-US"/>
        </w:rPr>
      </w:pPr>
      <w:r w:rsidRPr="001215B9">
        <w:rPr>
          <w:rFonts w:ascii="Calibri" w:hAnsi="Calibri" w:cs="Times New Roman"/>
          <w:lang w:val="en-US"/>
        </w:rPr>
        <w:t xml:space="preserve">Of course, the quantitative frequency with which FTAs include mode 4 commitments says nothing on the quality of these commitments. Table 2 below gives an overview of the rights granted to the different categories of persons under the agreements. This shows that commitments undergone by </w:t>
      </w:r>
      <w:r w:rsidR="00572D93">
        <w:rPr>
          <w:rFonts w:ascii="Calibri" w:hAnsi="Calibri" w:cs="Times New Roman"/>
          <w:lang w:val="en-US"/>
        </w:rPr>
        <w:t>India</w:t>
      </w:r>
      <w:r w:rsidRPr="001215B9">
        <w:rPr>
          <w:rFonts w:ascii="Calibri" w:hAnsi="Calibri" w:cs="Times New Roman"/>
          <w:lang w:val="en-US"/>
        </w:rPr>
        <w:t xml:space="preserve"> are not just quantitatively</w:t>
      </w:r>
      <w:r w:rsidR="002103D7">
        <w:rPr>
          <w:rFonts w:ascii="Calibri" w:hAnsi="Calibri" w:cs="Times New Roman"/>
          <w:lang w:val="en-US"/>
        </w:rPr>
        <w:t>,</w:t>
      </w:r>
      <w:r w:rsidRPr="001215B9">
        <w:rPr>
          <w:rFonts w:ascii="Calibri" w:hAnsi="Calibri" w:cs="Times New Roman"/>
          <w:lang w:val="en-US"/>
        </w:rPr>
        <w:t xml:space="preserve"> but also qualitatively more far-reaching than the US or European ones.</w:t>
      </w:r>
      <w:r w:rsidR="00130E2E">
        <w:rPr>
          <w:rFonts w:ascii="Calibri" w:hAnsi="Calibri" w:cs="Times New Roman"/>
          <w:lang w:val="en-US"/>
        </w:rPr>
        <w:t xml:space="preserve"> </w:t>
      </w:r>
      <w:r w:rsidR="00734497" w:rsidRPr="001215B9">
        <w:rPr>
          <w:rFonts w:ascii="Calibri" w:hAnsi="Calibri" w:cs="Times New Roman"/>
          <w:lang w:val="en-US"/>
        </w:rPr>
        <w:t xml:space="preserve">Table </w:t>
      </w:r>
      <w:r w:rsidR="003B70A8">
        <w:rPr>
          <w:rFonts w:ascii="Calibri" w:hAnsi="Calibri" w:cs="Times New Roman"/>
          <w:lang w:val="en-US"/>
        </w:rPr>
        <w:t>3</w:t>
      </w:r>
      <w:r w:rsidR="00130E2E">
        <w:rPr>
          <w:rFonts w:ascii="Calibri" w:hAnsi="Calibri" w:cs="Times New Roman"/>
          <w:lang w:val="en-US"/>
        </w:rPr>
        <w:t xml:space="preserve"> </w:t>
      </w:r>
      <w:r w:rsidR="002103D7">
        <w:rPr>
          <w:rFonts w:ascii="Calibri" w:hAnsi="Calibri" w:cs="Times New Roman"/>
          <w:lang w:val="en-US"/>
        </w:rPr>
        <w:t>highlights</w:t>
      </w:r>
      <w:r w:rsidR="00130E2E">
        <w:rPr>
          <w:rFonts w:ascii="Calibri" w:hAnsi="Calibri" w:cs="Times New Roman"/>
          <w:lang w:val="en-US"/>
        </w:rPr>
        <w:t xml:space="preserve"> </w:t>
      </w:r>
      <w:r w:rsidR="00734497" w:rsidRPr="001215B9">
        <w:rPr>
          <w:rFonts w:ascii="Calibri" w:hAnsi="Calibri" w:cs="Times New Roman"/>
          <w:lang w:val="en-US"/>
        </w:rPr>
        <w:t xml:space="preserve">that </w:t>
      </w:r>
      <w:r w:rsidR="00572D93">
        <w:rPr>
          <w:rFonts w:ascii="Calibri" w:hAnsi="Calibri" w:cs="Times New Roman"/>
          <w:lang w:val="en-US"/>
        </w:rPr>
        <w:t>India</w:t>
      </w:r>
      <w:r w:rsidR="00734497" w:rsidRPr="001215B9">
        <w:rPr>
          <w:rFonts w:ascii="Calibri" w:hAnsi="Calibri" w:cs="Times New Roman"/>
          <w:lang w:val="en-US"/>
        </w:rPr>
        <w:t>'</w:t>
      </w:r>
      <w:r w:rsidR="00572D93">
        <w:rPr>
          <w:rFonts w:ascii="Calibri" w:hAnsi="Calibri" w:cs="Times New Roman"/>
          <w:lang w:val="en-US"/>
        </w:rPr>
        <w:t>s</w:t>
      </w:r>
      <w:r w:rsidR="00734497" w:rsidRPr="001215B9">
        <w:rPr>
          <w:rFonts w:ascii="Calibri" w:hAnsi="Calibri" w:cs="Times New Roman"/>
          <w:lang w:val="en-US"/>
        </w:rPr>
        <w:t xml:space="preserve"> FTAs define more categories of service providers, </w:t>
      </w:r>
      <w:r w:rsidR="0039687C">
        <w:rPr>
          <w:rFonts w:ascii="Calibri" w:hAnsi="Calibri" w:cs="Times New Roman"/>
          <w:lang w:val="en-US"/>
        </w:rPr>
        <w:t>offer longer durations</w:t>
      </w:r>
      <w:r w:rsidR="00734497" w:rsidRPr="001215B9">
        <w:rPr>
          <w:rFonts w:ascii="Calibri" w:hAnsi="Calibri" w:cs="Times New Roman"/>
          <w:lang w:val="en-US"/>
        </w:rPr>
        <w:t xml:space="preserve"> of stay</w:t>
      </w:r>
      <w:r w:rsidR="00572D93">
        <w:rPr>
          <w:rFonts w:ascii="Calibri" w:hAnsi="Calibri" w:cs="Times New Roman"/>
          <w:lang w:val="en-US"/>
        </w:rPr>
        <w:t xml:space="preserve">, and </w:t>
      </w:r>
      <w:r w:rsidR="00734497" w:rsidRPr="001215B9">
        <w:rPr>
          <w:rFonts w:ascii="Calibri" w:hAnsi="Calibri" w:cs="Times New Roman"/>
          <w:lang w:val="en-US"/>
        </w:rPr>
        <w:t xml:space="preserve">include social and employment rights for spouses and dependents. This is a development that goes much beyond what was originally thought for mode 4 liberalizations in the WTO. </w:t>
      </w:r>
      <w:r w:rsidR="00A53001">
        <w:rPr>
          <w:rFonts w:ascii="Calibri" w:hAnsi="Calibri" w:cs="Times New Roman"/>
          <w:lang w:val="en-US"/>
        </w:rPr>
        <w:t>W</w:t>
      </w:r>
      <w:r w:rsidR="00734497" w:rsidRPr="001215B9">
        <w:rPr>
          <w:rFonts w:ascii="Calibri" w:hAnsi="Calibri" w:cs="Times New Roman"/>
          <w:lang w:val="en-US"/>
        </w:rPr>
        <w:t>hile in some cases, developed countries impose numerical quotas or ENT</w:t>
      </w:r>
      <w:r w:rsidR="00251D0D">
        <w:rPr>
          <w:rFonts w:ascii="Calibri" w:hAnsi="Calibri" w:cs="Times New Roman"/>
          <w:lang w:val="en-US"/>
        </w:rPr>
        <w:t>s</w:t>
      </w:r>
      <w:r w:rsidR="00734497" w:rsidRPr="001215B9">
        <w:rPr>
          <w:rFonts w:ascii="Calibri" w:hAnsi="Calibri" w:cs="Times New Roman"/>
          <w:lang w:val="en-US"/>
        </w:rPr>
        <w:t xml:space="preserve">, this is not the case </w:t>
      </w:r>
      <w:r w:rsidR="000B69FC">
        <w:rPr>
          <w:rFonts w:ascii="Calibri" w:hAnsi="Calibri" w:cs="Times New Roman"/>
          <w:lang w:val="en-US"/>
        </w:rPr>
        <w:t>for</w:t>
      </w:r>
      <w:r w:rsidR="00572D93">
        <w:rPr>
          <w:rFonts w:ascii="Calibri" w:hAnsi="Calibri" w:cs="Times New Roman"/>
          <w:lang w:val="en-US"/>
        </w:rPr>
        <w:t xml:space="preserve"> India</w:t>
      </w:r>
      <w:r w:rsidR="00734497" w:rsidRPr="001215B9">
        <w:rPr>
          <w:rFonts w:ascii="Calibri" w:hAnsi="Calibri" w:cs="Times New Roman"/>
          <w:lang w:val="en-US"/>
        </w:rPr>
        <w:t xml:space="preserve">.   </w:t>
      </w:r>
    </w:p>
    <w:p w14:paraId="31573380" w14:textId="77777777" w:rsidR="00734497" w:rsidRPr="001215B9" w:rsidRDefault="00734497" w:rsidP="001215B9">
      <w:pPr>
        <w:spacing w:after="120" w:line="360" w:lineRule="auto"/>
        <w:jc w:val="both"/>
        <w:rPr>
          <w:rFonts w:ascii="Calibri" w:hAnsi="Calibri" w:cs="Times New Roman"/>
          <w:lang w:val="en-US"/>
        </w:rPr>
      </w:pPr>
    </w:p>
    <w:p w14:paraId="795F872B" w14:textId="77777777" w:rsidR="00662AC2" w:rsidRPr="001215B9" w:rsidRDefault="00662AC2" w:rsidP="001215B9">
      <w:pPr>
        <w:spacing w:after="120" w:line="360" w:lineRule="auto"/>
        <w:jc w:val="both"/>
        <w:rPr>
          <w:rFonts w:ascii="Calibri" w:hAnsi="Calibri" w:cs="Times New Roman"/>
          <w:lang w:val="en-US"/>
        </w:rPr>
      </w:pPr>
      <w:r w:rsidRPr="001215B9">
        <w:rPr>
          <w:rFonts w:ascii="Calibri" w:hAnsi="Calibri" w:cs="Times New Roman"/>
          <w:lang w:val="en-US"/>
        </w:rPr>
        <w:br w:type="page"/>
      </w:r>
    </w:p>
    <w:p w14:paraId="60D17C5F" w14:textId="77777777" w:rsidR="00662AC2" w:rsidRPr="001215B9" w:rsidRDefault="00662AC2" w:rsidP="001215B9">
      <w:pPr>
        <w:spacing w:after="120" w:line="360" w:lineRule="auto"/>
        <w:jc w:val="both"/>
        <w:rPr>
          <w:rFonts w:ascii="Calibri" w:hAnsi="Calibri" w:cs="Times New Roman"/>
          <w:lang w:val="en-US"/>
        </w:rPr>
        <w:sectPr w:rsidR="00662AC2" w:rsidRPr="001215B9" w:rsidSect="0032445B">
          <w:pgSz w:w="11906" w:h="16838"/>
          <w:pgMar w:top="1247" w:right="1247" w:bottom="1247" w:left="1247" w:header="709" w:footer="709" w:gutter="0"/>
          <w:cols w:space="708"/>
          <w:docGrid w:linePitch="360"/>
        </w:sectPr>
      </w:pPr>
    </w:p>
    <w:tbl>
      <w:tblPr>
        <w:tblpPr w:leftFromText="180" w:rightFromText="180" w:vertAnchor="page" w:horzAnchor="margin" w:tblpXSpec="center" w:tblpY="1403"/>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268"/>
        <w:gridCol w:w="3402"/>
        <w:gridCol w:w="2551"/>
      </w:tblGrid>
      <w:tr w:rsidR="00572D93" w:rsidRPr="001215B9" w14:paraId="159CBE47" w14:textId="77777777" w:rsidTr="00F278D6">
        <w:trPr>
          <w:trHeight w:val="355"/>
        </w:trPr>
        <w:tc>
          <w:tcPr>
            <w:tcW w:w="1736" w:type="dxa"/>
            <w:shd w:val="clear" w:color="auto" w:fill="auto"/>
            <w:vAlign w:val="bottom"/>
            <w:hideMark/>
          </w:tcPr>
          <w:p w14:paraId="5F9D3D2C"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lastRenderedPageBreak/>
              <w:t xml:space="preserve">Categories </w:t>
            </w:r>
          </w:p>
        </w:tc>
        <w:tc>
          <w:tcPr>
            <w:tcW w:w="2268" w:type="dxa"/>
            <w:shd w:val="clear" w:color="auto" w:fill="auto"/>
            <w:noWrap/>
            <w:vAlign w:val="bottom"/>
            <w:hideMark/>
          </w:tcPr>
          <w:p w14:paraId="2E40BA12"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US commitments</w:t>
            </w:r>
          </w:p>
        </w:tc>
        <w:tc>
          <w:tcPr>
            <w:tcW w:w="3402" w:type="dxa"/>
            <w:shd w:val="clear" w:color="auto" w:fill="auto"/>
            <w:noWrap/>
            <w:vAlign w:val="bottom"/>
            <w:hideMark/>
          </w:tcPr>
          <w:p w14:paraId="042F0C66"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EU commitments</w:t>
            </w:r>
          </w:p>
        </w:tc>
        <w:tc>
          <w:tcPr>
            <w:tcW w:w="2551" w:type="dxa"/>
            <w:shd w:val="clear" w:color="auto" w:fill="auto"/>
            <w:noWrap/>
            <w:vAlign w:val="bottom"/>
            <w:hideMark/>
          </w:tcPr>
          <w:p w14:paraId="1BFB5FF3"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India commitments</w:t>
            </w:r>
          </w:p>
        </w:tc>
      </w:tr>
      <w:tr w:rsidR="00572D93" w:rsidRPr="001215B9" w14:paraId="16FB7CD2" w14:textId="77777777" w:rsidTr="00F278D6">
        <w:trPr>
          <w:trHeight w:val="336"/>
        </w:trPr>
        <w:tc>
          <w:tcPr>
            <w:tcW w:w="1736" w:type="dxa"/>
            <w:shd w:val="clear" w:color="auto" w:fill="auto"/>
            <w:vAlign w:val="bottom"/>
            <w:hideMark/>
          </w:tcPr>
          <w:p w14:paraId="393C6AD5"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BVs</w:t>
            </w:r>
          </w:p>
        </w:tc>
        <w:tc>
          <w:tcPr>
            <w:tcW w:w="2268" w:type="dxa"/>
            <w:shd w:val="clear" w:color="auto" w:fill="auto"/>
            <w:noWrap/>
            <w:vAlign w:val="bottom"/>
            <w:hideMark/>
          </w:tcPr>
          <w:p w14:paraId="5DDB3A54"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90 days</w:t>
            </w:r>
          </w:p>
        </w:tc>
        <w:tc>
          <w:tcPr>
            <w:tcW w:w="3402" w:type="dxa"/>
            <w:shd w:val="clear" w:color="auto" w:fill="auto"/>
            <w:vAlign w:val="bottom"/>
            <w:hideMark/>
          </w:tcPr>
          <w:p w14:paraId="3E599743"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Up to 90 days in any 12 month period </w:t>
            </w:r>
          </w:p>
        </w:tc>
        <w:tc>
          <w:tcPr>
            <w:tcW w:w="2551" w:type="dxa"/>
            <w:shd w:val="clear" w:color="auto" w:fill="auto"/>
            <w:vAlign w:val="bottom"/>
            <w:hideMark/>
          </w:tcPr>
          <w:p w14:paraId="0E0CAAA7"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180 days (multiple entry)</w:t>
            </w:r>
          </w:p>
        </w:tc>
      </w:tr>
      <w:tr w:rsidR="00572D93" w:rsidRPr="001215B9" w14:paraId="2517696B" w14:textId="77777777" w:rsidTr="00F278D6">
        <w:trPr>
          <w:trHeight w:val="1294"/>
        </w:trPr>
        <w:tc>
          <w:tcPr>
            <w:tcW w:w="1736" w:type="dxa"/>
            <w:shd w:val="clear" w:color="auto" w:fill="auto"/>
            <w:vAlign w:val="bottom"/>
            <w:hideMark/>
          </w:tcPr>
          <w:p w14:paraId="48F047F3"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ICTs</w:t>
            </w:r>
            <w:r w:rsidRPr="00D22CFC">
              <w:rPr>
                <w:rFonts w:ascii="Arial Narrow" w:eastAsia="Times New Roman" w:hAnsi="Arial Narrow" w:cs="Times New Roman"/>
                <w:b/>
                <w:bCs/>
                <w:color w:val="000000"/>
                <w:sz w:val="18"/>
                <w:szCs w:val="18"/>
              </w:rPr>
              <w:t xml:space="preserve"> (managers, executives, specialists)</w:t>
            </w:r>
          </w:p>
        </w:tc>
        <w:tc>
          <w:tcPr>
            <w:tcW w:w="2268" w:type="dxa"/>
            <w:shd w:val="clear" w:color="auto" w:fill="auto"/>
            <w:vAlign w:val="bottom"/>
            <w:hideMark/>
          </w:tcPr>
          <w:p w14:paraId="45050FF1"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3 up to 5 years; no ENTs</w:t>
            </w:r>
          </w:p>
        </w:tc>
        <w:tc>
          <w:tcPr>
            <w:tcW w:w="3402" w:type="dxa"/>
            <w:shd w:val="clear" w:color="auto" w:fill="auto"/>
            <w:vAlign w:val="bottom"/>
            <w:hideMark/>
          </w:tcPr>
          <w:p w14:paraId="6E416225"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Managers, specialists: up to 3/5 years </w:t>
            </w:r>
            <w:r w:rsidRPr="00D22CFC">
              <w:rPr>
                <w:rFonts w:ascii="Arial Narrow" w:eastAsia="Times New Roman" w:hAnsi="Arial Narrow" w:cs="Times New Roman"/>
                <w:color w:val="000000"/>
                <w:sz w:val="18"/>
                <w:szCs w:val="18"/>
              </w:rPr>
              <w:br/>
              <w:t xml:space="preserve">Graduate trainees: 1 year </w:t>
            </w:r>
            <w:r w:rsidRPr="00D22CFC">
              <w:rPr>
                <w:rFonts w:ascii="Arial Narrow" w:eastAsia="Times New Roman" w:hAnsi="Arial Narrow" w:cs="Times New Roman"/>
                <w:color w:val="000000"/>
                <w:sz w:val="18"/>
                <w:szCs w:val="18"/>
              </w:rPr>
              <w:br/>
            </w:r>
            <w:r w:rsidRPr="00D22CFC">
              <w:rPr>
                <w:rFonts w:ascii="Arial Narrow" w:eastAsia="Times New Roman" w:hAnsi="Arial Narrow" w:cs="Times New Roman"/>
                <w:color w:val="000000"/>
                <w:sz w:val="18"/>
                <w:szCs w:val="18"/>
              </w:rPr>
              <w:br/>
              <w:t xml:space="preserve">ENT/num. quotas abolished for sectors liberalized, unless otherwise specified </w:t>
            </w:r>
          </w:p>
        </w:tc>
        <w:tc>
          <w:tcPr>
            <w:tcW w:w="2551" w:type="dxa"/>
            <w:shd w:val="clear" w:color="auto" w:fill="auto"/>
            <w:vAlign w:val="bottom"/>
            <w:hideMark/>
          </w:tcPr>
          <w:p w14:paraId="5D5F1E39"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one year/max 5years</w:t>
            </w:r>
          </w:p>
        </w:tc>
      </w:tr>
      <w:tr w:rsidR="00572D93" w:rsidRPr="001215B9" w14:paraId="7CC49B2C" w14:textId="77777777" w:rsidTr="00F278D6">
        <w:trPr>
          <w:trHeight w:val="1911"/>
        </w:trPr>
        <w:tc>
          <w:tcPr>
            <w:tcW w:w="1736" w:type="dxa"/>
            <w:shd w:val="clear" w:color="auto" w:fill="auto"/>
            <w:vAlign w:val="bottom"/>
            <w:hideMark/>
          </w:tcPr>
          <w:p w14:paraId="0E33F941"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CSSs</w:t>
            </w:r>
          </w:p>
        </w:tc>
        <w:tc>
          <w:tcPr>
            <w:tcW w:w="2268" w:type="dxa"/>
            <w:shd w:val="clear" w:color="auto" w:fill="auto"/>
            <w:noWrap/>
            <w:vAlign w:val="bottom"/>
            <w:hideMark/>
          </w:tcPr>
          <w:p w14:paraId="7AEDDBBF"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w:t>
            </w:r>
          </w:p>
        </w:tc>
        <w:tc>
          <w:tcPr>
            <w:tcW w:w="3402" w:type="dxa"/>
            <w:shd w:val="clear" w:color="auto" w:fill="auto"/>
            <w:vAlign w:val="bottom"/>
            <w:hideMark/>
          </w:tcPr>
          <w:p w14:paraId="121423E1" w14:textId="77777777" w:rsidR="00572D93"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6 months, in any 12 months period</w:t>
            </w:r>
            <w:r>
              <w:rPr>
                <w:rFonts w:ascii="Arial Narrow" w:eastAsia="Times New Roman" w:hAnsi="Arial Narrow" w:cs="Times New Roman"/>
                <w:color w:val="000000"/>
                <w:sz w:val="18"/>
                <w:szCs w:val="18"/>
              </w:rPr>
              <w:t>;</w:t>
            </w:r>
          </w:p>
          <w:p w14:paraId="29B11B06"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CSSs must have at least 3 years professional experience (with CARIFORUM)</w:t>
            </w:r>
          </w:p>
          <w:p w14:paraId="0A667612"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Specific list of professions, numerical ceiling and ENTs</w:t>
            </w:r>
            <w:r>
              <w:rPr>
                <w:rFonts w:ascii="Arial Narrow" w:eastAsia="Times New Roman" w:hAnsi="Arial Narrow" w:cs="Times New Roman"/>
                <w:color w:val="000000"/>
                <w:sz w:val="18"/>
                <w:szCs w:val="18"/>
              </w:rPr>
              <w:t xml:space="preserve"> apply</w:t>
            </w:r>
          </w:p>
        </w:tc>
        <w:tc>
          <w:tcPr>
            <w:tcW w:w="2551" w:type="dxa"/>
            <w:shd w:val="clear" w:color="auto" w:fill="auto"/>
            <w:vAlign w:val="bottom"/>
            <w:hideMark/>
          </w:tcPr>
          <w:p w14:paraId="17CC4F8E"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1 year or the period of contract, whichever is less</w:t>
            </w:r>
          </w:p>
          <w:p w14:paraId="1414CB36"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Installer/servicers: up to 3 months </w:t>
            </w:r>
          </w:p>
        </w:tc>
      </w:tr>
      <w:tr w:rsidR="00572D93" w:rsidRPr="001215B9" w14:paraId="2AB5A44D" w14:textId="77777777" w:rsidTr="00F278D6">
        <w:trPr>
          <w:trHeight w:val="594"/>
        </w:trPr>
        <w:tc>
          <w:tcPr>
            <w:tcW w:w="1736" w:type="dxa"/>
            <w:shd w:val="clear" w:color="auto" w:fill="auto"/>
            <w:vAlign w:val="bottom"/>
            <w:hideMark/>
          </w:tcPr>
          <w:p w14:paraId="1D81EEE8"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IPs</w:t>
            </w:r>
          </w:p>
        </w:tc>
        <w:tc>
          <w:tcPr>
            <w:tcW w:w="2268" w:type="dxa"/>
            <w:shd w:val="clear" w:color="auto" w:fill="auto"/>
            <w:noWrap/>
            <w:vAlign w:val="bottom"/>
            <w:hideMark/>
          </w:tcPr>
          <w:p w14:paraId="1CB700F1"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Temporary entry</w:t>
            </w:r>
          </w:p>
        </w:tc>
        <w:tc>
          <w:tcPr>
            <w:tcW w:w="3402" w:type="dxa"/>
            <w:shd w:val="clear" w:color="auto" w:fill="auto"/>
            <w:vAlign w:val="bottom"/>
            <w:hideMark/>
          </w:tcPr>
          <w:p w14:paraId="33ABDC0B"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6 months, in any 12</w:t>
            </w:r>
            <w:r>
              <w:rPr>
                <w:rFonts w:ascii="Arial Narrow" w:eastAsia="Times New Roman" w:hAnsi="Arial Narrow" w:cs="Times New Roman"/>
                <w:color w:val="000000"/>
                <w:sz w:val="18"/>
                <w:szCs w:val="18"/>
              </w:rPr>
              <w:t>-</w:t>
            </w:r>
            <w:r w:rsidRPr="00D22CFC">
              <w:rPr>
                <w:rFonts w:ascii="Arial Narrow" w:eastAsia="Times New Roman" w:hAnsi="Arial Narrow" w:cs="Times New Roman"/>
                <w:color w:val="000000"/>
                <w:sz w:val="18"/>
                <w:szCs w:val="18"/>
              </w:rPr>
              <w:t>months; conditioned on ENT</w:t>
            </w:r>
            <w:r>
              <w:rPr>
                <w:rFonts w:ascii="Arial Narrow" w:eastAsia="Times New Roman" w:hAnsi="Arial Narrow" w:cs="Times New Roman"/>
                <w:color w:val="000000"/>
                <w:sz w:val="18"/>
                <w:szCs w:val="18"/>
              </w:rPr>
              <w:t>s</w:t>
            </w:r>
          </w:p>
        </w:tc>
        <w:tc>
          <w:tcPr>
            <w:tcW w:w="2551" w:type="dxa"/>
            <w:shd w:val="clear" w:color="auto" w:fill="auto"/>
            <w:vAlign w:val="bottom"/>
            <w:hideMark/>
          </w:tcPr>
          <w:p w14:paraId="63255834"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Up to 1 year </w:t>
            </w:r>
          </w:p>
        </w:tc>
      </w:tr>
      <w:tr w:rsidR="00572D93" w:rsidRPr="001215B9" w14:paraId="5909C7AD" w14:textId="77777777" w:rsidTr="00F278D6">
        <w:trPr>
          <w:trHeight w:val="635"/>
        </w:trPr>
        <w:tc>
          <w:tcPr>
            <w:tcW w:w="1736" w:type="dxa"/>
            <w:shd w:val="clear" w:color="auto" w:fill="auto"/>
            <w:vAlign w:val="bottom"/>
            <w:hideMark/>
          </w:tcPr>
          <w:p w14:paraId="156CD68C"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Traders and investors</w:t>
            </w:r>
          </w:p>
        </w:tc>
        <w:tc>
          <w:tcPr>
            <w:tcW w:w="2268" w:type="dxa"/>
            <w:shd w:val="clear" w:color="auto" w:fill="auto"/>
            <w:noWrap/>
            <w:vAlign w:val="bottom"/>
            <w:hideMark/>
          </w:tcPr>
          <w:p w14:paraId="0B6F71A9"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Temporary entry</w:t>
            </w:r>
          </w:p>
        </w:tc>
        <w:tc>
          <w:tcPr>
            <w:tcW w:w="3402" w:type="dxa"/>
            <w:shd w:val="clear" w:color="auto" w:fill="auto"/>
            <w:vAlign w:val="bottom"/>
            <w:hideMark/>
          </w:tcPr>
          <w:p w14:paraId="4D6807BB"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Up to 90 days in any 12-month</w:t>
            </w:r>
            <w:r>
              <w:rPr>
                <w:rFonts w:ascii="Arial Narrow" w:eastAsia="Times New Roman" w:hAnsi="Arial Narrow" w:cs="Times New Roman"/>
                <w:color w:val="000000"/>
                <w:sz w:val="18"/>
                <w:szCs w:val="18"/>
              </w:rPr>
              <w:t>s</w:t>
            </w:r>
          </w:p>
        </w:tc>
        <w:tc>
          <w:tcPr>
            <w:tcW w:w="2551" w:type="dxa"/>
            <w:shd w:val="clear" w:color="auto" w:fill="auto"/>
            <w:noWrap/>
            <w:vAlign w:val="bottom"/>
            <w:hideMark/>
          </w:tcPr>
          <w:p w14:paraId="2AFD78A3"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Between 1-3 years, may be extended</w:t>
            </w:r>
          </w:p>
        </w:tc>
      </w:tr>
      <w:tr w:rsidR="00572D93" w:rsidRPr="001215B9" w14:paraId="78303227" w14:textId="77777777" w:rsidTr="00F278D6">
        <w:trPr>
          <w:trHeight w:val="802"/>
        </w:trPr>
        <w:tc>
          <w:tcPr>
            <w:tcW w:w="1736" w:type="dxa"/>
            <w:shd w:val="clear" w:color="auto" w:fill="auto"/>
            <w:vAlign w:val="bottom"/>
            <w:hideMark/>
          </w:tcPr>
          <w:p w14:paraId="673E161B" w14:textId="107C53F5" w:rsidR="00572D93" w:rsidRPr="00D22CFC" w:rsidRDefault="00F278D6" w:rsidP="00615361">
            <w:pPr>
              <w:spacing w:after="12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Q</w:t>
            </w:r>
            <w:r w:rsidR="00572D93" w:rsidRPr="00D22CFC">
              <w:rPr>
                <w:rFonts w:ascii="Arial Narrow" w:eastAsia="Times New Roman" w:hAnsi="Arial Narrow" w:cs="Times New Roman"/>
                <w:b/>
                <w:bCs/>
                <w:color w:val="000000"/>
                <w:sz w:val="18"/>
                <w:szCs w:val="18"/>
              </w:rPr>
              <w:t>ualifications</w:t>
            </w:r>
            <w:r>
              <w:rPr>
                <w:rFonts w:ascii="Arial Narrow" w:eastAsia="Times New Roman" w:hAnsi="Arial Narrow" w:cs="Times New Roman"/>
                <w:b/>
                <w:bCs/>
                <w:color w:val="000000"/>
                <w:sz w:val="18"/>
                <w:szCs w:val="18"/>
              </w:rPr>
              <w:t xml:space="preserve"> requirements </w:t>
            </w:r>
          </w:p>
        </w:tc>
        <w:tc>
          <w:tcPr>
            <w:tcW w:w="2268" w:type="dxa"/>
            <w:shd w:val="clear" w:color="auto" w:fill="auto"/>
            <w:vAlign w:val="bottom"/>
            <w:hideMark/>
          </w:tcPr>
          <w:p w14:paraId="53E2F6FA"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“develop mutually acceptable standards and criteria” </w:t>
            </w:r>
          </w:p>
        </w:tc>
        <w:tc>
          <w:tcPr>
            <w:tcW w:w="3402" w:type="dxa"/>
            <w:shd w:val="clear" w:color="auto" w:fill="auto"/>
            <w:vAlign w:val="bottom"/>
            <w:hideMark/>
          </w:tcPr>
          <w:p w14:paraId="4529C79C"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Qualifications and/or professional experience may be required</w:t>
            </w:r>
          </w:p>
        </w:tc>
        <w:tc>
          <w:tcPr>
            <w:tcW w:w="2551" w:type="dxa"/>
            <w:shd w:val="clear" w:color="auto" w:fill="auto"/>
            <w:vAlign w:val="bottom"/>
            <w:hideMark/>
          </w:tcPr>
          <w:p w14:paraId="6EDB9000"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“appropriate educational and professional qualifications”; sometimes work experience required </w:t>
            </w:r>
          </w:p>
        </w:tc>
      </w:tr>
      <w:tr w:rsidR="00572D93" w:rsidRPr="001215B9" w14:paraId="6AFCE05D" w14:textId="77777777" w:rsidTr="00F278D6">
        <w:trPr>
          <w:trHeight w:val="263"/>
        </w:trPr>
        <w:tc>
          <w:tcPr>
            <w:tcW w:w="1736" w:type="dxa"/>
            <w:shd w:val="clear" w:color="auto" w:fill="auto"/>
            <w:noWrap/>
            <w:vAlign w:val="bottom"/>
            <w:hideMark/>
          </w:tcPr>
          <w:p w14:paraId="6C010092"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Social rights</w:t>
            </w:r>
          </w:p>
        </w:tc>
        <w:tc>
          <w:tcPr>
            <w:tcW w:w="2268" w:type="dxa"/>
            <w:shd w:val="clear" w:color="auto" w:fill="auto"/>
            <w:noWrap/>
            <w:vAlign w:val="bottom"/>
            <w:hideMark/>
          </w:tcPr>
          <w:p w14:paraId="7D7FCB5C"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No</w:t>
            </w:r>
          </w:p>
        </w:tc>
        <w:tc>
          <w:tcPr>
            <w:tcW w:w="3402" w:type="dxa"/>
            <w:shd w:val="clear" w:color="auto" w:fill="auto"/>
            <w:vAlign w:val="bottom"/>
            <w:hideMark/>
          </w:tcPr>
          <w:p w14:paraId="2AA97F09"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No (in other trade-related agreements yes, but not in the FTAs)</w:t>
            </w:r>
          </w:p>
        </w:tc>
        <w:tc>
          <w:tcPr>
            <w:tcW w:w="2551" w:type="dxa"/>
            <w:shd w:val="clear" w:color="auto" w:fill="auto"/>
            <w:vAlign w:val="bottom"/>
            <w:hideMark/>
          </w:tcPr>
          <w:p w14:paraId="437B446D"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Yes</w:t>
            </w:r>
            <w:r>
              <w:rPr>
                <w:rFonts w:ascii="Arial Narrow" w:eastAsia="Times New Roman" w:hAnsi="Arial Narrow" w:cs="Times New Roman"/>
                <w:color w:val="000000"/>
                <w:sz w:val="18"/>
                <w:szCs w:val="18"/>
              </w:rPr>
              <w:t xml:space="preserve"> (</w:t>
            </w:r>
            <w:r w:rsidRPr="00D22CFC">
              <w:rPr>
                <w:rFonts w:ascii="Arial Narrow" w:eastAsia="Times New Roman" w:hAnsi="Arial Narrow" w:cs="Times New Roman"/>
                <w:color w:val="000000"/>
                <w:sz w:val="18"/>
                <w:szCs w:val="18"/>
              </w:rPr>
              <w:t>spouses or dependents</w:t>
            </w:r>
            <w:r>
              <w:rPr>
                <w:rFonts w:ascii="Arial Narrow" w:eastAsia="Times New Roman" w:hAnsi="Arial Narrow" w:cs="Times New Roman"/>
                <w:color w:val="000000"/>
                <w:sz w:val="18"/>
                <w:szCs w:val="18"/>
              </w:rPr>
              <w:t>)</w:t>
            </w:r>
          </w:p>
        </w:tc>
      </w:tr>
      <w:tr w:rsidR="00572D93" w:rsidRPr="001215B9" w14:paraId="14FED508" w14:textId="77777777" w:rsidTr="00F278D6">
        <w:trPr>
          <w:trHeight w:val="431"/>
        </w:trPr>
        <w:tc>
          <w:tcPr>
            <w:tcW w:w="1736" w:type="dxa"/>
            <w:shd w:val="clear" w:color="auto" w:fill="auto"/>
            <w:vAlign w:val="bottom"/>
            <w:hideMark/>
          </w:tcPr>
          <w:p w14:paraId="023836AA"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Visa/immigration requirements</w:t>
            </w:r>
          </w:p>
        </w:tc>
        <w:tc>
          <w:tcPr>
            <w:tcW w:w="2268" w:type="dxa"/>
            <w:shd w:val="clear" w:color="auto" w:fill="auto"/>
            <w:vAlign w:val="bottom"/>
            <w:hideMark/>
          </w:tcPr>
          <w:p w14:paraId="4195DA5F"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Yes</w:t>
            </w:r>
          </w:p>
        </w:tc>
        <w:tc>
          <w:tcPr>
            <w:tcW w:w="3402" w:type="dxa"/>
            <w:shd w:val="clear" w:color="auto" w:fill="auto"/>
            <w:vAlign w:val="bottom"/>
            <w:hideMark/>
          </w:tcPr>
          <w:p w14:paraId="2CE73459"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Yes</w:t>
            </w:r>
          </w:p>
        </w:tc>
        <w:tc>
          <w:tcPr>
            <w:tcW w:w="2551" w:type="dxa"/>
            <w:shd w:val="clear" w:color="auto" w:fill="auto"/>
            <w:vAlign w:val="bottom"/>
            <w:hideMark/>
          </w:tcPr>
          <w:p w14:paraId="3CD00FE7"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Yes</w:t>
            </w:r>
          </w:p>
        </w:tc>
      </w:tr>
      <w:tr w:rsidR="00572D93" w:rsidRPr="001215B9" w14:paraId="4FC5F7BD" w14:textId="77777777" w:rsidTr="00F278D6">
        <w:trPr>
          <w:trHeight w:val="63"/>
        </w:trPr>
        <w:tc>
          <w:tcPr>
            <w:tcW w:w="1736" w:type="dxa"/>
            <w:shd w:val="clear" w:color="auto" w:fill="auto"/>
            <w:vAlign w:val="bottom"/>
            <w:hideMark/>
          </w:tcPr>
          <w:p w14:paraId="0F3F4BA8" w14:textId="77777777" w:rsidR="00572D93" w:rsidRPr="00D22CFC" w:rsidRDefault="00572D93" w:rsidP="00615361">
            <w:pPr>
              <w:spacing w:after="120" w:line="240" w:lineRule="auto"/>
              <w:rPr>
                <w:rFonts w:ascii="Arial Narrow" w:eastAsia="Times New Roman" w:hAnsi="Arial Narrow" w:cs="Times New Roman"/>
                <w:b/>
                <w:bCs/>
                <w:color w:val="000000"/>
                <w:sz w:val="18"/>
                <w:szCs w:val="18"/>
              </w:rPr>
            </w:pPr>
            <w:r w:rsidRPr="00D22CFC">
              <w:rPr>
                <w:rFonts w:ascii="Arial Narrow" w:eastAsia="Times New Roman" w:hAnsi="Arial Narrow" w:cs="Times New Roman"/>
                <w:b/>
                <w:bCs/>
                <w:color w:val="000000"/>
                <w:sz w:val="18"/>
                <w:szCs w:val="18"/>
              </w:rPr>
              <w:t>Numerical quotas</w:t>
            </w:r>
          </w:p>
        </w:tc>
        <w:tc>
          <w:tcPr>
            <w:tcW w:w="2268" w:type="dxa"/>
            <w:shd w:val="clear" w:color="auto" w:fill="auto"/>
            <w:vAlign w:val="bottom"/>
            <w:hideMark/>
          </w:tcPr>
          <w:p w14:paraId="0A4624E8"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Yes </w:t>
            </w:r>
          </w:p>
        </w:tc>
        <w:tc>
          <w:tcPr>
            <w:tcW w:w="3402" w:type="dxa"/>
            <w:shd w:val="clear" w:color="auto" w:fill="auto"/>
            <w:vAlign w:val="bottom"/>
            <w:hideMark/>
          </w:tcPr>
          <w:p w14:paraId="40028696"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Should not maintain numerical quotas </w:t>
            </w:r>
          </w:p>
        </w:tc>
        <w:tc>
          <w:tcPr>
            <w:tcW w:w="2551" w:type="dxa"/>
            <w:shd w:val="clear" w:color="auto" w:fill="auto"/>
            <w:noWrap/>
            <w:vAlign w:val="bottom"/>
            <w:hideMark/>
          </w:tcPr>
          <w:p w14:paraId="3BF20C13" w14:textId="77777777" w:rsidR="00572D93" w:rsidRPr="00D22CFC" w:rsidRDefault="00572D93" w:rsidP="00615361">
            <w:pPr>
              <w:spacing w:after="120" w:line="240" w:lineRule="auto"/>
              <w:rPr>
                <w:rFonts w:ascii="Arial Narrow" w:eastAsia="Times New Roman" w:hAnsi="Arial Narrow" w:cs="Times New Roman"/>
                <w:color w:val="000000"/>
                <w:sz w:val="18"/>
                <w:szCs w:val="18"/>
              </w:rPr>
            </w:pPr>
            <w:r w:rsidRPr="00D22CFC">
              <w:rPr>
                <w:rFonts w:ascii="Arial Narrow" w:eastAsia="Times New Roman" w:hAnsi="Arial Narrow" w:cs="Times New Roman"/>
                <w:color w:val="000000"/>
                <w:sz w:val="18"/>
                <w:szCs w:val="18"/>
              </w:rPr>
              <w:t xml:space="preserve">No </w:t>
            </w:r>
          </w:p>
        </w:tc>
      </w:tr>
    </w:tbl>
    <w:p w14:paraId="78BDE865" w14:textId="77777777" w:rsidR="00615361" w:rsidRDefault="00615361" w:rsidP="001215B9">
      <w:pPr>
        <w:spacing w:after="120" w:line="360" w:lineRule="auto"/>
        <w:jc w:val="both"/>
        <w:rPr>
          <w:rFonts w:ascii="Calibri" w:hAnsi="Calibri" w:cs="Times New Roman"/>
          <w:lang w:val="en-US"/>
        </w:rPr>
      </w:pPr>
    </w:p>
    <w:p w14:paraId="2889699F" w14:textId="77777777" w:rsidR="00615361" w:rsidRDefault="00615361" w:rsidP="001215B9">
      <w:pPr>
        <w:spacing w:after="120" w:line="360" w:lineRule="auto"/>
        <w:jc w:val="both"/>
        <w:rPr>
          <w:rFonts w:ascii="Calibri" w:hAnsi="Calibri" w:cs="Times New Roman"/>
          <w:lang w:val="en-US"/>
        </w:rPr>
      </w:pPr>
    </w:p>
    <w:p w14:paraId="3AA5C736" w14:textId="77777777" w:rsidR="00615361" w:rsidRDefault="00615361" w:rsidP="001215B9">
      <w:pPr>
        <w:spacing w:after="120" w:line="360" w:lineRule="auto"/>
        <w:jc w:val="both"/>
        <w:rPr>
          <w:rFonts w:ascii="Calibri" w:hAnsi="Calibri" w:cs="Times New Roman"/>
          <w:lang w:val="en-US"/>
        </w:rPr>
      </w:pPr>
    </w:p>
    <w:p w14:paraId="04D84347" w14:textId="77777777" w:rsidR="00615361" w:rsidRDefault="00615361" w:rsidP="001215B9">
      <w:pPr>
        <w:spacing w:after="120" w:line="360" w:lineRule="auto"/>
        <w:jc w:val="both"/>
        <w:rPr>
          <w:rFonts w:ascii="Calibri" w:hAnsi="Calibri" w:cs="Times New Roman"/>
          <w:lang w:val="en-US"/>
        </w:rPr>
      </w:pPr>
    </w:p>
    <w:p w14:paraId="7799BA67" w14:textId="77777777" w:rsidR="00615361" w:rsidRDefault="00615361" w:rsidP="001215B9">
      <w:pPr>
        <w:spacing w:after="120" w:line="360" w:lineRule="auto"/>
        <w:jc w:val="both"/>
        <w:rPr>
          <w:rFonts w:ascii="Calibri" w:hAnsi="Calibri" w:cs="Times New Roman"/>
          <w:lang w:val="en-US"/>
        </w:rPr>
      </w:pPr>
    </w:p>
    <w:p w14:paraId="5F9109C9" w14:textId="77777777" w:rsidR="00615361" w:rsidRDefault="00615361" w:rsidP="001215B9">
      <w:pPr>
        <w:spacing w:after="120" w:line="360" w:lineRule="auto"/>
        <w:jc w:val="both"/>
        <w:rPr>
          <w:rFonts w:ascii="Calibri" w:hAnsi="Calibri" w:cs="Times New Roman"/>
          <w:lang w:val="en-US"/>
        </w:rPr>
      </w:pPr>
    </w:p>
    <w:p w14:paraId="5A315456" w14:textId="77777777" w:rsidR="00615361" w:rsidRDefault="00615361" w:rsidP="001215B9">
      <w:pPr>
        <w:spacing w:after="120" w:line="360" w:lineRule="auto"/>
        <w:jc w:val="both"/>
        <w:rPr>
          <w:rFonts w:ascii="Calibri" w:hAnsi="Calibri" w:cs="Times New Roman"/>
          <w:lang w:val="en-US"/>
        </w:rPr>
      </w:pPr>
    </w:p>
    <w:p w14:paraId="317D4BCC" w14:textId="77777777" w:rsidR="00615361" w:rsidRDefault="00615361" w:rsidP="001215B9">
      <w:pPr>
        <w:spacing w:after="120" w:line="360" w:lineRule="auto"/>
        <w:jc w:val="both"/>
        <w:rPr>
          <w:rFonts w:ascii="Calibri" w:hAnsi="Calibri" w:cs="Times New Roman"/>
          <w:lang w:val="en-US"/>
        </w:rPr>
      </w:pPr>
    </w:p>
    <w:p w14:paraId="2ED1A1CF" w14:textId="77777777" w:rsidR="00615361" w:rsidRDefault="00615361" w:rsidP="001215B9">
      <w:pPr>
        <w:spacing w:after="120" w:line="360" w:lineRule="auto"/>
        <w:jc w:val="both"/>
        <w:rPr>
          <w:rFonts w:ascii="Calibri" w:hAnsi="Calibri" w:cs="Times New Roman"/>
          <w:lang w:val="en-US"/>
        </w:rPr>
      </w:pPr>
    </w:p>
    <w:p w14:paraId="3B394DBA" w14:textId="77777777" w:rsidR="00615361" w:rsidRDefault="00615361" w:rsidP="001215B9">
      <w:pPr>
        <w:spacing w:after="120" w:line="360" w:lineRule="auto"/>
        <w:jc w:val="both"/>
        <w:rPr>
          <w:rFonts w:ascii="Calibri" w:hAnsi="Calibri" w:cs="Times New Roman"/>
          <w:lang w:val="en-US"/>
        </w:rPr>
      </w:pPr>
    </w:p>
    <w:p w14:paraId="2067B602" w14:textId="77777777" w:rsidR="00615361" w:rsidRDefault="00615361" w:rsidP="001215B9">
      <w:pPr>
        <w:spacing w:after="120" w:line="360" w:lineRule="auto"/>
        <w:jc w:val="both"/>
        <w:rPr>
          <w:rFonts w:ascii="Calibri" w:hAnsi="Calibri" w:cs="Times New Roman"/>
          <w:lang w:val="en-US"/>
        </w:rPr>
      </w:pPr>
    </w:p>
    <w:p w14:paraId="45BE319C" w14:textId="77777777" w:rsidR="00615361" w:rsidRDefault="00615361" w:rsidP="001215B9">
      <w:pPr>
        <w:spacing w:after="120" w:line="360" w:lineRule="auto"/>
        <w:jc w:val="both"/>
        <w:rPr>
          <w:rFonts w:ascii="Calibri" w:hAnsi="Calibri" w:cs="Times New Roman"/>
          <w:lang w:val="en-US"/>
        </w:rPr>
      </w:pPr>
    </w:p>
    <w:p w14:paraId="2C820112" w14:textId="77777777" w:rsidR="00615361" w:rsidRDefault="00615361" w:rsidP="001215B9">
      <w:pPr>
        <w:spacing w:after="120" w:line="360" w:lineRule="auto"/>
        <w:jc w:val="both"/>
        <w:rPr>
          <w:rFonts w:ascii="Calibri" w:hAnsi="Calibri" w:cs="Times New Roman"/>
          <w:lang w:val="en-US"/>
        </w:rPr>
      </w:pPr>
    </w:p>
    <w:p w14:paraId="126FC963" w14:textId="77777777" w:rsidR="00615361" w:rsidRDefault="00615361" w:rsidP="001215B9">
      <w:pPr>
        <w:spacing w:after="120" w:line="360" w:lineRule="auto"/>
        <w:jc w:val="both"/>
        <w:rPr>
          <w:rFonts w:ascii="Calibri" w:hAnsi="Calibri" w:cs="Times New Roman"/>
          <w:lang w:val="en-US"/>
        </w:rPr>
      </w:pPr>
    </w:p>
    <w:p w14:paraId="658D9721" w14:textId="77777777" w:rsidR="00615361" w:rsidRDefault="00615361" w:rsidP="001215B9">
      <w:pPr>
        <w:spacing w:after="120" w:line="360" w:lineRule="auto"/>
        <w:jc w:val="both"/>
        <w:rPr>
          <w:rFonts w:ascii="Calibri" w:hAnsi="Calibri" w:cs="Times New Roman"/>
          <w:lang w:val="en-US"/>
        </w:rPr>
      </w:pPr>
    </w:p>
    <w:p w14:paraId="03EBC7BA" w14:textId="77777777" w:rsidR="00615361" w:rsidRPr="00615361" w:rsidRDefault="00615361" w:rsidP="00615361">
      <w:pPr>
        <w:rPr>
          <w:rFonts w:ascii="Calibri" w:hAnsi="Calibri"/>
          <w:i/>
        </w:rPr>
      </w:pPr>
      <w:r w:rsidRPr="00615361">
        <w:rPr>
          <w:rFonts w:ascii="Calibri" w:hAnsi="Calibri"/>
          <w:i/>
        </w:rPr>
        <w:t>Table 3: Summary of mode 4 commitments by the US, EU and India in bilateral FTAs</w:t>
      </w:r>
    </w:p>
    <w:p w14:paraId="0759CBEB" w14:textId="77777777" w:rsidR="00615361" w:rsidRPr="00615361" w:rsidRDefault="00615361" w:rsidP="001215B9">
      <w:pPr>
        <w:spacing w:after="120" w:line="360" w:lineRule="auto"/>
        <w:jc w:val="both"/>
        <w:rPr>
          <w:rFonts w:ascii="Calibri" w:hAnsi="Calibri" w:cs="Times New Roman"/>
        </w:rPr>
      </w:pPr>
    </w:p>
    <w:p w14:paraId="1AF0A355" w14:textId="77777777" w:rsidR="00662AC2" w:rsidRPr="001215B9" w:rsidRDefault="00662AC2" w:rsidP="001215B9">
      <w:pPr>
        <w:spacing w:after="120" w:line="360" w:lineRule="auto"/>
        <w:jc w:val="both"/>
        <w:rPr>
          <w:rFonts w:ascii="Calibri" w:hAnsi="Calibri" w:cs="Times New Roman"/>
          <w:lang w:val="en-US"/>
        </w:rPr>
        <w:sectPr w:rsidR="00662AC2" w:rsidRPr="001215B9" w:rsidSect="0032445B">
          <w:pgSz w:w="16838" w:h="11906" w:orient="landscape"/>
          <w:pgMar w:top="1247" w:right="1247" w:bottom="1247" w:left="1247" w:header="709" w:footer="709" w:gutter="0"/>
          <w:cols w:space="708"/>
          <w:docGrid w:linePitch="360"/>
        </w:sectPr>
      </w:pPr>
      <w:r w:rsidRPr="001215B9">
        <w:rPr>
          <w:rFonts w:ascii="Calibri" w:hAnsi="Calibri" w:cs="Times New Roman"/>
          <w:lang w:val="en-US"/>
        </w:rPr>
        <w:br w:type="page"/>
      </w:r>
    </w:p>
    <w:p w14:paraId="1CB6A6C2" w14:textId="77777777" w:rsidR="00662AC2" w:rsidRPr="001215B9" w:rsidRDefault="00662AC2" w:rsidP="001215B9">
      <w:pPr>
        <w:spacing w:after="120" w:line="360" w:lineRule="auto"/>
        <w:jc w:val="both"/>
        <w:rPr>
          <w:rFonts w:ascii="Calibri" w:hAnsi="Calibri" w:cs="Times New Roman"/>
          <w:lang w:val="en-US"/>
        </w:rPr>
      </w:pPr>
      <w:r w:rsidRPr="001215B9">
        <w:rPr>
          <w:rFonts w:ascii="Calibri" w:hAnsi="Calibri" w:cs="Times New Roman"/>
          <w:lang w:val="en-US"/>
        </w:rPr>
        <w:lastRenderedPageBreak/>
        <w:t>The bilateral agreements concluded by the USA are a salient example of the delicate balance of negotiating mobility rights within a trade context and the prerogatives of ownership over the immigration agenda defended by the political actors responsible for migration policy.</w:t>
      </w:r>
    </w:p>
    <w:p w14:paraId="6C7DD332" w14:textId="57C0EA5A" w:rsidR="00662AC2" w:rsidRPr="001215B9" w:rsidRDefault="009F1EFD" w:rsidP="001215B9">
      <w:pPr>
        <w:spacing w:after="120" w:line="360" w:lineRule="auto"/>
        <w:jc w:val="both"/>
        <w:rPr>
          <w:rFonts w:ascii="Calibri" w:hAnsi="Calibri" w:cs="Times New Roman"/>
          <w:lang w:val="en-US"/>
        </w:rPr>
      </w:pPr>
      <w:r>
        <w:rPr>
          <w:rFonts w:ascii="Calibri" w:hAnsi="Calibri" w:cs="Times New Roman"/>
          <w:lang w:val="en-US"/>
        </w:rPr>
        <w:t>US</w:t>
      </w:r>
      <w:r w:rsidR="00662AC2" w:rsidRPr="001215B9">
        <w:rPr>
          <w:rFonts w:ascii="Calibri" w:hAnsi="Calibri" w:cs="Times New Roman"/>
          <w:lang w:val="en-US"/>
        </w:rPr>
        <w:t xml:space="preserve"> have concluded FTAs</w:t>
      </w:r>
      <w:r w:rsidR="00734497" w:rsidRPr="001215B9">
        <w:rPr>
          <w:rStyle w:val="Funotenzeichen"/>
          <w:rFonts w:ascii="Calibri" w:hAnsi="Calibri" w:cs="Times New Roman"/>
          <w:lang w:val="en-US"/>
        </w:rPr>
        <w:footnoteReference w:id="21"/>
      </w:r>
      <w:r w:rsidR="00662AC2" w:rsidRPr="001215B9">
        <w:rPr>
          <w:rFonts w:ascii="Calibri" w:hAnsi="Calibri" w:cs="Times New Roman"/>
          <w:lang w:val="en-US"/>
        </w:rPr>
        <w:t xml:space="preserve"> with 20 countries (including NAFTA), following in all but one case (</w:t>
      </w:r>
      <w:r w:rsidR="00541582">
        <w:rPr>
          <w:rFonts w:ascii="Calibri" w:hAnsi="Calibri" w:cs="Times New Roman"/>
          <w:lang w:val="en-US"/>
        </w:rPr>
        <w:t xml:space="preserve">FTA </w:t>
      </w:r>
      <w:r w:rsidR="00662AC2" w:rsidRPr="001215B9">
        <w:rPr>
          <w:rFonts w:ascii="Calibri" w:hAnsi="Calibri" w:cs="Times New Roman"/>
          <w:lang w:val="en-US"/>
        </w:rPr>
        <w:t xml:space="preserve">with Jordan </w:t>
      </w:r>
      <w:r w:rsidR="00A72D1C">
        <w:rPr>
          <w:rFonts w:ascii="Calibri" w:hAnsi="Calibri" w:cs="Times New Roman"/>
          <w:lang w:val="en-US"/>
        </w:rPr>
        <w:t>from</w:t>
      </w:r>
      <w:r w:rsidR="00130E2E">
        <w:rPr>
          <w:rFonts w:ascii="Calibri" w:hAnsi="Calibri" w:cs="Times New Roman"/>
          <w:lang w:val="en-US"/>
        </w:rPr>
        <w:t xml:space="preserve"> </w:t>
      </w:r>
      <w:r w:rsidR="00662AC2" w:rsidRPr="001215B9">
        <w:rPr>
          <w:rFonts w:ascii="Calibri" w:hAnsi="Calibri" w:cs="Times New Roman"/>
          <w:lang w:val="en-US"/>
        </w:rPr>
        <w:t>2001) a negative-listing approach to scheduling commitments in services. This transla</w:t>
      </w:r>
      <w:r w:rsidR="00F203F9">
        <w:rPr>
          <w:rFonts w:ascii="Calibri" w:hAnsi="Calibri" w:cs="Times New Roman"/>
          <w:lang w:val="en-US"/>
        </w:rPr>
        <w:t>tes into a generalized liberalis</w:t>
      </w:r>
      <w:r w:rsidR="00662AC2" w:rsidRPr="001215B9">
        <w:rPr>
          <w:rFonts w:ascii="Calibri" w:hAnsi="Calibri" w:cs="Times New Roman"/>
          <w:lang w:val="en-US"/>
        </w:rPr>
        <w:t>ation of sectors, unless otherwise indicated in specific reservation lists. The concessions offered by the US essentially follow the GATS model, mode 4 being covered under the so-called ‘professional services’ that means services, the supply of which requires specialized, post-secondary education, or equivalent training</w:t>
      </w:r>
      <w:r w:rsidR="000F17D2">
        <w:rPr>
          <w:rFonts w:ascii="Calibri" w:hAnsi="Calibri" w:cs="Times New Roman"/>
          <w:lang w:val="en-US"/>
        </w:rPr>
        <w:t>/</w:t>
      </w:r>
      <w:r w:rsidR="00662AC2" w:rsidRPr="001215B9">
        <w:rPr>
          <w:rFonts w:ascii="Calibri" w:hAnsi="Calibri" w:cs="Times New Roman"/>
          <w:lang w:val="en-US"/>
        </w:rPr>
        <w:t xml:space="preserve">experience, and for which the right to practice is granted or restricted by a Party. </w:t>
      </w:r>
      <w:r w:rsidR="00572D93">
        <w:rPr>
          <w:rFonts w:ascii="Calibri" w:hAnsi="Calibri" w:cs="Times New Roman"/>
          <w:lang w:val="en-US"/>
        </w:rPr>
        <w:t>Two</w:t>
      </w:r>
      <w:r w:rsidR="00662AC2" w:rsidRPr="001215B9">
        <w:rPr>
          <w:rFonts w:ascii="Calibri" w:hAnsi="Calibri" w:cs="Times New Roman"/>
          <w:lang w:val="en-US"/>
        </w:rPr>
        <w:t xml:space="preserve"> agreements (with Chile and Singapore signed in 2004) </w:t>
      </w:r>
      <w:r w:rsidR="00572D93">
        <w:rPr>
          <w:rFonts w:ascii="Calibri" w:hAnsi="Calibri" w:cs="Times New Roman"/>
          <w:lang w:val="en-US"/>
        </w:rPr>
        <w:t xml:space="preserve">stand out for providing quotas on </w:t>
      </w:r>
      <w:r w:rsidR="00662AC2" w:rsidRPr="001215B9">
        <w:rPr>
          <w:rFonts w:ascii="Calibri" w:hAnsi="Calibri" w:cs="Times New Roman"/>
          <w:lang w:val="en-US"/>
        </w:rPr>
        <w:t>entry visas for professionals (1,400</w:t>
      </w:r>
      <w:r w:rsidR="004A6552">
        <w:rPr>
          <w:rFonts w:ascii="Calibri" w:hAnsi="Calibri" w:cs="Times New Roman"/>
          <w:lang w:val="en-US"/>
        </w:rPr>
        <w:t xml:space="preserve"> visas</w:t>
      </w:r>
      <w:r w:rsidR="00130E2E">
        <w:rPr>
          <w:rFonts w:ascii="Calibri" w:hAnsi="Calibri" w:cs="Times New Roman"/>
          <w:lang w:val="en-US"/>
        </w:rPr>
        <w:t xml:space="preserve"> </w:t>
      </w:r>
      <w:r w:rsidR="00AA593E">
        <w:rPr>
          <w:rFonts w:ascii="Calibri" w:hAnsi="Calibri" w:cs="Times New Roman"/>
          <w:lang w:val="en-US"/>
        </w:rPr>
        <w:t xml:space="preserve">for Chilean professionals </w:t>
      </w:r>
      <w:r w:rsidR="00662AC2" w:rsidRPr="001215B9">
        <w:rPr>
          <w:rFonts w:ascii="Calibri" w:hAnsi="Calibri" w:cs="Times New Roman"/>
          <w:lang w:val="en-US"/>
        </w:rPr>
        <w:t xml:space="preserve">and 4,500 </w:t>
      </w:r>
      <w:r w:rsidR="00AA593E">
        <w:rPr>
          <w:rFonts w:ascii="Calibri" w:hAnsi="Calibri" w:cs="Times New Roman"/>
          <w:lang w:val="en-US"/>
        </w:rPr>
        <w:t>for</w:t>
      </w:r>
      <w:r w:rsidR="00662AC2" w:rsidRPr="001215B9">
        <w:rPr>
          <w:rFonts w:ascii="Calibri" w:hAnsi="Calibri" w:cs="Times New Roman"/>
          <w:lang w:val="en-US"/>
        </w:rPr>
        <w:t xml:space="preserve"> Singapore</w:t>
      </w:r>
      <w:r w:rsidR="00AA593E">
        <w:rPr>
          <w:rFonts w:ascii="Calibri" w:hAnsi="Calibri" w:cs="Times New Roman"/>
          <w:lang w:val="en-US"/>
        </w:rPr>
        <w:t xml:space="preserve">ans granted </w:t>
      </w:r>
      <w:r w:rsidR="004A6552">
        <w:rPr>
          <w:rFonts w:ascii="Calibri" w:hAnsi="Calibri" w:cs="Times New Roman"/>
          <w:lang w:val="en-US"/>
        </w:rPr>
        <w:t>annually</w:t>
      </w:r>
      <w:r w:rsidR="00662AC2" w:rsidRPr="001215B9">
        <w:rPr>
          <w:rFonts w:ascii="Calibri" w:hAnsi="Calibri" w:cs="Times New Roman"/>
          <w:lang w:val="en-US"/>
        </w:rPr>
        <w:t>). This link to visas liberalization created great controversies in the Congress</w:t>
      </w:r>
      <w:r w:rsidR="009D1B2A">
        <w:rPr>
          <w:rFonts w:ascii="Calibri" w:hAnsi="Calibri" w:cs="Times New Roman"/>
          <w:lang w:val="en-US"/>
        </w:rPr>
        <w:t>,</w:t>
      </w:r>
      <w:r w:rsidR="00AA7D88">
        <w:rPr>
          <w:rFonts w:ascii="Calibri" w:hAnsi="Calibri" w:cs="Times New Roman"/>
          <w:lang w:val="en-US"/>
        </w:rPr>
        <w:t xml:space="preserve"> which stated that it was beyond the competence of trade officials to negotiate visa concessions</w:t>
      </w:r>
      <w:r w:rsidR="00662AC2" w:rsidRPr="001215B9">
        <w:rPr>
          <w:rFonts w:ascii="Calibri" w:hAnsi="Calibri" w:cs="Times New Roman"/>
          <w:lang w:val="en-US"/>
        </w:rPr>
        <w:t xml:space="preserve">. The final outcome was to place these visas under the category of H-1B program and count them under the overall visas cap. The US Trade Representative has subsequently been blocked by </w:t>
      </w:r>
      <w:r w:rsidR="00406259">
        <w:rPr>
          <w:rFonts w:ascii="Calibri" w:hAnsi="Calibri" w:cs="Times New Roman"/>
          <w:lang w:val="en-US"/>
        </w:rPr>
        <w:t xml:space="preserve">the </w:t>
      </w:r>
      <w:r w:rsidR="00662AC2" w:rsidRPr="001215B9">
        <w:rPr>
          <w:rFonts w:ascii="Calibri" w:hAnsi="Calibri" w:cs="Times New Roman"/>
          <w:lang w:val="en-US"/>
        </w:rPr>
        <w:t xml:space="preserve">Congress in making additional visa concessions under Mode </w:t>
      </w:r>
      <w:r w:rsidR="00C1332A" w:rsidRPr="001215B9">
        <w:rPr>
          <w:rFonts w:ascii="Calibri" w:hAnsi="Calibri" w:cs="Times New Roman"/>
          <w:lang w:val="en-US"/>
        </w:rPr>
        <w:t>4</w:t>
      </w:r>
      <w:r w:rsidR="00AA7D88">
        <w:rPr>
          <w:rFonts w:ascii="Calibri" w:hAnsi="Calibri" w:cs="Times New Roman"/>
          <w:lang w:val="en-US"/>
        </w:rPr>
        <w:t>, thereby pointing at the sensitive limits of the trade-migration nexus.</w:t>
      </w:r>
    </w:p>
    <w:p w14:paraId="321C16C2" w14:textId="6D46190E" w:rsidR="00662AC2" w:rsidRPr="001215B9" w:rsidRDefault="00AA7D88" w:rsidP="001215B9">
      <w:pPr>
        <w:spacing w:after="120" w:line="360" w:lineRule="auto"/>
        <w:jc w:val="both"/>
        <w:rPr>
          <w:rFonts w:ascii="Calibri" w:hAnsi="Calibri" w:cs="Times New Roman"/>
          <w:lang w:val="en-US"/>
        </w:rPr>
      </w:pPr>
      <w:r>
        <w:rPr>
          <w:rFonts w:ascii="Calibri" w:hAnsi="Calibri" w:cs="Times New Roman"/>
          <w:lang w:val="en-US"/>
        </w:rPr>
        <w:t xml:space="preserve">These limits are also salient in the EU negotiation context. </w:t>
      </w:r>
      <w:r w:rsidR="00662AC2" w:rsidRPr="001215B9">
        <w:rPr>
          <w:rFonts w:ascii="Calibri" w:hAnsi="Calibri" w:cs="Times New Roman"/>
          <w:lang w:val="en-US"/>
        </w:rPr>
        <w:t xml:space="preserve">As one of the official from </w:t>
      </w:r>
      <w:r w:rsidR="00ED1070">
        <w:rPr>
          <w:rFonts w:ascii="Calibri" w:hAnsi="Calibri" w:cs="Times New Roman"/>
          <w:lang w:val="en-US"/>
        </w:rPr>
        <w:t>the Commission's Directorate General (</w:t>
      </w:r>
      <w:r w:rsidR="00662AC2" w:rsidRPr="001215B9">
        <w:rPr>
          <w:rFonts w:ascii="Calibri" w:hAnsi="Calibri" w:cs="Times New Roman"/>
          <w:lang w:val="en-US"/>
        </w:rPr>
        <w:t>DG</w:t>
      </w:r>
      <w:r w:rsidR="00ED1070">
        <w:rPr>
          <w:rFonts w:ascii="Calibri" w:hAnsi="Calibri" w:cs="Times New Roman"/>
          <w:lang w:val="en-US"/>
        </w:rPr>
        <w:t>) on</w:t>
      </w:r>
      <w:r w:rsidR="00662AC2" w:rsidRPr="001215B9">
        <w:rPr>
          <w:rFonts w:ascii="Calibri" w:hAnsi="Calibri" w:cs="Times New Roman"/>
          <w:lang w:val="en-US"/>
        </w:rPr>
        <w:t xml:space="preserve"> Trade put it “mode 4 is</w:t>
      </w:r>
      <w:r w:rsidR="00662AC2" w:rsidRPr="001215B9">
        <w:rPr>
          <w:rFonts w:ascii="Calibri" w:hAnsi="Calibri"/>
          <w:lang w:val="en-US"/>
        </w:rPr>
        <w:t xml:space="preserve"> strictly about trade and not about immigration"</w:t>
      </w:r>
      <w:r w:rsidR="00ED1070">
        <w:rPr>
          <w:rFonts w:ascii="Calibri" w:hAnsi="Calibri"/>
          <w:lang w:val="en-US"/>
        </w:rPr>
        <w:t xml:space="preserve">; </w:t>
      </w:r>
      <w:r w:rsidR="00662AC2" w:rsidRPr="001215B9">
        <w:rPr>
          <w:rFonts w:ascii="Calibri" w:hAnsi="Calibri"/>
          <w:lang w:val="en-US"/>
        </w:rPr>
        <w:t>"there is no interference into each others' domain" (</w:t>
      </w:r>
      <w:r w:rsidR="00662AC2" w:rsidRPr="00C868EA">
        <w:rPr>
          <w:rFonts w:ascii="Calibri" w:hAnsi="Calibri"/>
          <w:lang w:val="en-US"/>
        </w:rPr>
        <w:t xml:space="preserve">Interview </w:t>
      </w:r>
      <w:r w:rsidR="00AB6C79" w:rsidRPr="00C868EA">
        <w:rPr>
          <w:rFonts w:ascii="Calibri" w:hAnsi="Calibri"/>
          <w:lang w:val="en-US"/>
        </w:rPr>
        <w:t>8</w:t>
      </w:r>
      <w:r w:rsidR="00662AC2" w:rsidRPr="00C868EA">
        <w:rPr>
          <w:rFonts w:ascii="Calibri" w:hAnsi="Calibri"/>
          <w:lang w:val="en-US"/>
        </w:rPr>
        <w:t>).</w:t>
      </w:r>
      <w:r w:rsidR="00662AC2" w:rsidRPr="001215B9">
        <w:rPr>
          <w:rFonts w:ascii="Calibri" w:hAnsi="Calibri"/>
          <w:lang w:val="en-US"/>
        </w:rPr>
        <w:t xml:space="preserve"> </w:t>
      </w:r>
      <w:r w:rsidR="00662AC2" w:rsidRPr="001215B9">
        <w:rPr>
          <w:rFonts w:ascii="Calibri" w:hAnsi="Calibri" w:cs="Times New Roman"/>
          <w:lang w:val="en-US"/>
        </w:rPr>
        <w:t>However, the overlaps between both agendas are becoming increasingly obvious</w:t>
      </w:r>
      <w:r w:rsidR="000E24AE">
        <w:rPr>
          <w:rFonts w:ascii="Calibri" w:hAnsi="Calibri" w:cs="Times New Roman"/>
          <w:lang w:val="en-US"/>
        </w:rPr>
        <w:t>.</w:t>
      </w:r>
      <w:r w:rsidR="00662AC2" w:rsidRPr="001215B9">
        <w:rPr>
          <w:rFonts w:ascii="Calibri" w:hAnsi="Calibri" w:cs="Times New Roman"/>
          <w:lang w:val="en-US"/>
        </w:rPr>
        <w:t xml:space="preserve"> In the words of another EU expert from DG Home this is highlighted as follows: </w:t>
      </w:r>
      <w:r w:rsidR="00662AC2" w:rsidRPr="001215B9">
        <w:rPr>
          <w:rFonts w:ascii="Calibri" w:hAnsi="Calibri"/>
          <w:lang w:val="en-US"/>
        </w:rPr>
        <w:t>"trade people want to use visas as leverage for trade agreements" while "home affairs officials want to use visas as leverage for readmission agreements" (</w:t>
      </w:r>
      <w:r w:rsidR="00662AC2" w:rsidRPr="00C868EA">
        <w:rPr>
          <w:rFonts w:ascii="Calibri" w:hAnsi="Calibri"/>
          <w:lang w:val="en-US"/>
        </w:rPr>
        <w:t xml:space="preserve">Interview </w:t>
      </w:r>
      <w:r w:rsidR="00AB6C79" w:rsidRPr="00C868EA">
        <w:rPr>
          <w:rFonts w:ascii="Calibri" w:hAnsi="Calibri"/>
          <w:lang w:val="en-US"/>
        </w:rPr>
        <w:t>7</w:t>
      </w:r>
      <w:r w:rsidR="00662AC2" w:rsidRPr="00C868EA">
        <w:rPr>
          <w:rFonts w:ascii="Calibri" w:hAnsi="Calibri"/>
          <w:lang w:val="en-US"/>
        </w:rPr>
        <w:t>).</w:t>
      </w:r>
    </w:p>
    <w:p w14:paraId="7AA1D209" w14:textId="7C0C3709" w:rsidR="00662AC2" w:rsidRPr="001215B9" w:rsidRDefault="00622722" w:rsidP="001215B9">
      <w:pPr>
        <w:spacing w:after="120" w:line="360" w:lineRule="auto"/>
        <w:jc w:val="both"/>
        <w:rPr>
          <w:rFonts w:ascii="Calibri" w:hAnsi="Calibri" w:cs="Times New Roman"/>
          <w:lang w:val="en-US"/>
        </w:rPr>
      </w:pPr>
      <w:r>
        <w:rPr>
          <w:rFonts w:ascii="Calibri" w:hAnsi="Calibri" w:cs="Times New Roman"/>
          <w:lang w:val="en-US"/>
        </w:rPr>
        <w:t>T</w:t>
      </w:r>
      <w:r w:rsidR="00662AC2" w:rsidRPr="001215B9">
        <w:rPr>
          <w:rFonts w:ascii="Calibri" w:hAnsi="Calibri" w:cs="Times New Roman"/>
          <w:lang w:val="en-US"/>
        </w:rPr>
        <w:t xml:space="preserve">he EU has been </w:t>
      </w:r>
      <w:r w:rsidR="00380865" w:rsidRPr="001215B9">
        <w:rPr>
          <w:rFonts w:ascii="Calibri" w:hAnsi="Calibri" w:cs="Times New Roman"/>
          <w:lang w:val="en-US"/>
        </w:rPr>
        <w:t>quite</w:t>
      </w:r>
      <w:r w:rsidR="00662AC2" w:rsidRPr="001215B9">
        <w:rPr>
          <w:rFonts w:ascii="Calibri" w:hAnsi="Calibri" w:cs="Times New Roman"/>
          <w:lang w:val="en-US"/>
        </w:rPr>
        <w:t xml:space="preserve"> hesitant to move beyond GATS commitments in</w:t>
      </w:r>
      <w:r>
        <w:rPr>
          <w:rFonts w:ascii="Calibri" w:hAnsi="Calibri" w:cs="Times New Roman"/>
          <w:lang w:val="en-US"/>
        </w:rPr>
        <w:t xml:space="preserve"> most</w:t>
      </w:r>
      <w:r w:rsidR="00662AC2" w:rsidRPr="001215B9">
        <w:rPr>
          <w:rFonts w:ascii="Calibri" w:hAnsi="Calibri" w:cs="Times New Roman"/>
          <w:lang w:val="en-US"/>
        </w:rPr>
        <w:t xml:space="preserve"> bilateral agreements. From a total of over 65 trade-related agreements concluded by the EU, only about 50% include </w:t>
      </w:r>
      <w:r w:rsidR="00380865" w:rsidRPr="001215B9">
        <w:rPr>
          <w:rFonts w:ascii="Calibri" w:hAnsi="Calibri" w:cs="Times New Roman"/>
          <w:lang w:val="en-US"/>
        </w:rPr>
        <w:t xml:space="preserve">services </w:t>
      </w:r>
      <w:r w:rsidR="00662AC2" w:rsidRPr="001215B9">
        <w:rPr>
          <w:rFonts w:ascii="Calibri" w:hAnsi="Calibri" w:cs="Times New Roman"/>
          <w:lang w:val="en-US"/>
        </w:rPr>
        <w:t xml:space="preserve">provisions relevant for mobility. These </w:t>
      </w:r>
      <w:r w:rsidR="00972CC0">
        <w:rPr>
          <w:rFonts w:ascii="Calibri" w:hAnsi="Calibri" w:cs="Times New Roman"/>
          <w:lang w:val="en-US"/>
        </w:rPr>
        <w:t>are</w:t>
      </w:r>
      <w:r w:rsidR="001B7FC9">
        <w:rPr>
          <w:rFonts w:ascii="Calibri" w:hAnsi="Calibri" w:cs="Times New Roman"/>
          <w:lang w:val="en-US"/>
        </w:rPr>
        <w:t xml:space="preserve"> </w:t>
      </w:r>
      <w:r w:rsidR="00662AC2" w:rsidRPr="001215B9">
        <w:rPr>
          <w:rFonts w:ascii="Calibri" w:hAnsi="Calibri" w:cs="Times New Roman"/>
          <w:lang w:val="en-US"/>
        </w:rPr>
        <w:t>generally the newer agreements concluded from mid</w:t>
      </w:r>
      <w:r w:rsidR="00ED1070">
        <w:rPr>
          <w:rFonts w:ascii="Calibri" w:hAnsi="Calibri" w:cs="Times New Roman"/>
          <w:lang w:val="en-US"/>
        </w:rPr>
        <w:t>-</w:t>
      </w:r>
      <w:r w:rsidR="00662AC2" w:rsidRPr="001215B9">
        <w:rPr>
          <w:rFonts w:ascii="Calibri" w:hAnsi="Calibri" w:cs="Times New Roman"/>
          <w:lang w:val="en-US"/>
        </w:rPr>
        <w:t xml:space="preserve">2000 onwards. </w:t>
      </w:r>
      <w:r w:rsidR="00293885">
        <w:rPr>
          <w:rFonts w:ascii="Calibri" w:hAnsi="Calibri"/>
        </w:rPr>
        <w:t>M</w:t>
      </w:r>
      <w:r w:rsidR="00662AC2" w:rsidRPr="001215B9">
        <w:rPr>
          <w:rFonts w:ascii="Calibri" w:hAnsi="Calibri"/>
        </w:rPr>
        <w:t xml:space="preserve">ost of these </w:t>
      </w:r>
      <w:r w:rsidR="006E41BA">
        <w:rPr>
          <w:rFonts w:ascii="Calibri" w:hAnsi="Calibri"/>
        </w:rPr>
        <w:t>provisions</w:t>
      </w:r>
      <w:r w:rsidR="00662AC2" w:rsidRPr="001215B9">
        <w:rPr>
          <w:rFonts w:ascii="Calibri" w:hAnsi="Calibri"/>
        </w:rPr>
        <w:t xml:space="preserve"> are linked to commercial presence</w:t>
      </w:r>
      <w:r w:rsidR="00293885">
        <w:rPr>
          <w:rFonts w:ascii="Calibri" w:hAnsi="Calibri"/>
        </w:rPr>
        <w:t>, covering</w:t>
      </w:r>
      <w:r w:rsidR="001B7FC9">
        <w:rPr>
          <w:rFonts w:ascii="Calibri" w:hAnsi="Calibri"/>
        </w:rPr>
        <w:t xml:space="preserve"> </w:t>
      </w:r>
      <w:r w:rsidR="006D45F7">
        <w:rPr>
          <w:rFonts w:ascii="Calibri" w:hAnsi="Calibri"/>
        </w:rPr>
        <w:t>ICT</w:t>
      </w:r>
      <w:r w:rsidR="00452AEF">
        <w:rPr>
          <w:rFonts w:ascii="Calibri" w:hAnsi="Calibri"/>
        </w:rPr>
        <w:t>s</w:t>
      </w:r>
      <w:r w:rsidR="00662AC2" w:rsidRPr="001215B9">
        <w:rPr>
          <w:rFonts w:ascii="Calibri" w:hAnsi="Calibri"/>
        </w:rPr>
        <w:t xml:space="preserve"> or in the EU terminology “key personnel” (present in almost 70</w:t>
      </w:r>
      <w:r w:rsidR="00452AEF">
        <w:rPr>
          <w:rFonts w:ascii="Calibri" w:hAnsi="Calibri"/>
        </w:rPr>
        <w:t>%</w:t>
      </w:r>
      <w:r w:rsidR="00662AC2" w:rsidRPr="001215B9">
        <w:rPr>
          <w:rFonts w:ascii="Calibri" w:hAnsi="Calibri"/>
        </w:rPr>
        <w:t xml:space="preserve"> of th</w:t>
      </w:r>
      <w:r>
        <w:rPr>
          <w:rFonts w:ascii="Calibri" w:hAnsi="Calibri"/>
        </w:rPr>
        <w:t>os</w:t>
      </w:r>
      <w:r w:rsidR="00662AC2" w:rsidRPr="001215B9">
        <w:rPr>
          <w:rFonts w:ascii="Calibri" w:hAnsi="Calibri"/>
        </w:rPr>
        <w:t xml:space="preserve">e agreements) and self-employed persons within the companies established by these nationals in the territories of the EU. </w:t>
      </w:r>
      <w:r w:rsidR="00662AC2" w:rsidRPr="001215B9">
        <w:rPr>
          <w:rFonts w:ascii="Calibri" w:hAnsi="Calibri" w:cs="Times New Roman"/>
          <w:lang w:val="en-US"/>
        </w:rPr>
        <w:t xml:space="preserve">There are a few exceptions that also give rights </w:t>
      </w:r>
      <w:r w:rsidR="0013207C">
        <w:rPr>
          <w:rFonts w:ascii="Calibri" w:hAnsi="Calibri" w:cs="Times New Roman"/>
          <w:lang w:val="en-US"/>
        </w:rPr>
        <w:t>to</w:t>
      </w:r>
      <w:r w:rsidR="001B7FC9">
        <w:rPr>
          <w:rFonts w:ascii="Calibri" w:hAnsi="Calibri" w:cs="Times New Roman"/>
          <w:lang w:val="en-US"/>
        </w:rPr>
        <w:t xml:space="preserve"> </w:t>
      </w:r>
      <w:r w:rsidR="00662AC2" w:rsidRPr="001215B9">
        <w:rPr>
          <w:rFonts w:ascii="Calibri" w:hAnsi="Calibri" w:cs="Times New Roman"/>
          <w:lang w:val="en-US"/>
        </w:rPr>
        <w:t xml:space="preserve">service suppliers de-linked from commercial presence. One is the EPA concluded with the distant Cariforum countries. The significance of these commitments is however contested. They are said to be “crowded with </w:t>
      </w:r>
      <w:r w:rsidR="00850077">
        <w:rPr>
          <w:rFonts w:ascii="Calibri" w:hAnsi="Calibri" w:cs="Times New Roman"/>
          <w:lang w:val="en-US"/>
        </w:rPr>
        <w:t>ENTs</w:t>
      </w:r>
      <w:r w:rsidR="00662AC2" w:rsidRPr="001215B9">
        <w:rPr>
          <w:rFonts w:ascii="Calibri" w:hAnsi="Calibri" w:cs="Times New Roman"/>
          <w:lang w:val="en-US"/>
        </w:rPr>
        <w:t xml:space="preserve">, which remove certainty” (Kategekwa 2008:11). </w:t>
      </w:r>
      <w:r w:rsidR="00AA11FB" w:rsidRPr="001215B9">
        <w:rPr>
          <w:rFonts w:ascii="Calibri" w:hAnsi="Calibri" w:cs="Times New Roman"/>
          <w:lang w:val="en-US"/>
        </w:rPr>
        <w:lastRenderedPageBreak/>
        <w:t>Nevertheless</w:t>
      </w:r>
      <w:r w:rsidR="00B37B3E">
        <w:rPr>
          <w:rFonts w:ascii="Calibri" w:hAnsi="Calibri" w:cs="Times New Roman"/>
          <w:lang w:val="en-US"/>
        </w:rPr>
        <w:t>, as Dawson (2013</w:t>
      </w:r>
      <w:r w:rsidR="00662AC2" w:rsidRPr="001215B9">
        <w:rPr>
          <w:rFonts w:ascii="Calibri" w:hAnsi="Calibri" w:cs="Times New Roman"/>
          <w:lang w:val="en-US"/>
        </w:rPr>
        <w:t>:15) points out, in contrast to the EU GATS quite ambiguous</w:t>
      </w:r>
      <w:r w:rsidR="001B7FC9">
        <w:rPr>
          <w:rFonts w:ascii="Calibri" w:hAnsi="Calibri" w:cs="Times New Roman"/>
          <w:lang w:val="en-US"/>
        </w:rPr>
        <w:t xml:space="preserve"> </w:t>
      </w:r>
      <w:r w:rsidR="00A338AD" w:rsidRPr="001215B9">
        <w:rPr>
          <w:rFonts w:ascii="Calibri" w:hAnsi="Calibri" w:cs="Times New Roman"/>
          <w:lang w:val="en-US"/>
        </w:rPr>
        <w:t>offe</w:t>
      </w:r>
      <w:r w:rsidR="00A338AD">
        <w:rPr>
          <w:rFonts w:ascii="Calibri" w:hAnsi="Calibri" w:cs="Times New Roman"/>
          <w:lang w:val="en-US"/>
        </w:rPr>
        <w:t>r</w:t>
      </w:r>
      <w:r w:rsidR="00662AC2" w:rsidRPr="001215B9">
        <w:rPr>
          <w:rFonts w:ascii="Calibri" w:hAnsi="Calibri" w:cs="Times New Roman"/>
          <w:lang w:val="en-US"/>
        </w:rPr>
        <w:t xml:space="preserve">, the EPA provides straightforward requirements </w:t>
      </w:r>
      <w:r w:rsidR="008D12A6">
        <w:rPr>
          <w:rFonts w:ascii="Calibri" w:hAnsi="Calibri" w:cs="Times New Roman"/>
          <w:lang w:val="en-US"/>
        </w:rPr>
        <w:t xml:space="preserve">for certification </w:t>
      </w:r>
      <w:r w:rsidR="00887CF4">
        <w:rPr>
          <w:rFonts w:ascii="Calibri" w:hAnsi="Calibri" w:cs="Times New Roman"/>
          <w:lang w:val="en-US"/>
        </w:rPr>
        <w:t>and has a broader sectoral coverage</w:t>
      </w:r>
      <w:r w:rsidR="00662AC2" w:rsidRPr="001215B9">
        <w:rPr>
          <w:rStyle w:val="Funotenzeichen"/>
          <w:rFonts w:ascii="Calibri" w:hAnsi="Calibri" w:cs="Times New Roman"/>
          <w:lang w:val="en-US"/>
        </w:rPr>
        <w:footnoteReference w:id="22"/>
      </w:r>
      <w:r w:rsidR="00662AC2" w:rsidRPr="001215B9">
        <w:rPr>
          <w:rFonts w:ascii="Calibri" w:hAnsi="Calibri" w:cs="Times New Roman"/>
          <w:lang w:val="en-US"/>
        </w:rPr>
        <w:t>. Numerical quotas for key personnel and graduate trainees in the sector liberalized have been eliminated (CRNM 2009:</w:t>
      </w:r>
      <w:r w:rsidR="009D1B2A">
        <w:rPr>
          <w:rFonts w:ascii="Calibri" w:hAnsi="Calibri" w:cs="Times New Roman"/>
          <w:lang w:val="en-US"/>
        </w:rPr>
        <w:t xml:space="preserve"> </w:t>
      </w:r>
      <w:r w:rsidR="00662AC2" w:rsidRPr="001215B9">
        <w:rPr>
          <w:rFonts w:ascii="Calibri" w:hAnsi="Calibri" w:cs="Times New Roman"/>
          <w:lang w:val="en-US"/>
        </w:rPr>
        <w:t xml:space="preserve">25). </w:t>
      </w:r>
    </w:p>
    <w:p w14:paraId="2D03A100" w14:textId="22F1FD45" w:rsidR="00662AC2" w:rsidRPr="001215B9" w:rsidRDefault="00662AC2" w:rsidP="001215B9">
      <w:pPr>
        <w:spacing w:after="120" w:line="360" w:lineRule="auto"/>
        <w:jc w:val="both"/>
        <w:rPr>
          <w:rFonts w:ascii="Calibri" w:hAnsi="Calibri" w:cs="Times New Roman"/>
          <w:lang w:val="en-US"/>
        </w:rPr>
      </w:pPr>
      <w:r w:rsidRPr="001215B9">
        <w:rPr>
          <w:rFonts w:ascii="Calibri" w:hAnsi="Calibri" w:cs="Times New Roman"/>
          <w:lang w:val="en-US"/>
        </w:rPr>
        <w:t xml:space="preserve">The FTAs signed with South Korea (2010), Columbia and Peru (2011), are also cases where GATS+ provisions have been granted, </w:t>
      </w:r>
      <w:r w:rsidR="00972CC0">
        <w:rPr>
          <w:rFonts w:ascii="Calibri" w:hAnsi="Calibri" w:cs="Times New Roman"/>
          <w:lang w:val="en-US"/>
        </w:rPr>
        <w:t>particularly</w:t>
      </w:r>
      <w:r w:rsidRPr="001215B9">
        <w:rPr>
          <w:rFonts w:ascii="Calibri" w:hAnsi="Calibri" w:cs="Times New Roman"/>
          <w:lang w:val="en-US"/>
        </w:rPr>
        <w:t xml:space="preserve"> regard</w:t>
      </w:r>
      <w:r w:rsidR="00972CC0">
        <w:rPr>
          <w:rFonts w:ascii="Calibri" w:hAnsi="Calibri" w:cs="Times New Roman"/>
          <w:lang w:val="en-US"/>
        </w:rPr>
        <w:t>ing</w:t>
      </w:r>
      <w:r w:rsidRPr="001215B9">
        <w:rPr>
          <w:rFonts w:ascii="Calibri" w:hAnsi="Calibri" w:cs="Times New Roman"/>
          <w:lang w:val="en-US"/>
        </w:rPr>
        <w:t xml:space="preserve"> duration of stay of highly-skilled personnel, but also the inclusion of CSSs and IPs. </w:t>
      </w:r>
      <w:r w:rsidR="009A6AC6">
        <w:rPr>
          <w:rFonts w:ascii="Calibri" w:hAnsi="Calibri" w:cs="Times New Roman"/>
          <w:lang w:val="en-US"/>
        </w:rPr>
        <w:t>H</w:t>
      </w:r>
      <w:r w:rsidRPr="001215B9">
        <w:rPr>
          <w:rFonts w:ascii="Calibri" w:hAnsi="Calibri" w:cs="Times New Roman"/>
          <w:lang w:val="en-US"/>
        </w:rPr>
        <w:t xml:space="preserve">owever, the inclusion of these categories </w:t>
      </w:r>
      <w:r w:rsidR="009A6AC6">
        <w:rPr>
          <w:rFonts w:ascii="Calibri" w:hAnsi="Calibri" w:cs="Times New Roman"/>
          <w:lang w:val="en-US"/>
        </w:rPr>
        <w:t>seems to be</w:t>
      </w:r>
      <w:r w:rsidR="001B7FC9">
        <w:rPr>
          <w:rFonts w:ascii="Calibri" w:hAnsi="Calibri" w:cs="Times New Roman"/>
          <w:lang w:val="en-US"/>
        </w:rPr>
        <w:t xml:space="preserve"> </w:t>
      </w:r>
      <w:r w:rsidR="009A6AC6">
        <w:rPr>
          <w:rFonts w:ascii="Calibri" w:hAnsi="Calibri" w:cs="Times New Roman"/>
          <w:lang w:val="en-US"/>
        </w:rPr>
        <w:t>quite exceptional</w:t>
      </w:r>
      <w:r w:rsidRPr="001215B9">
        <w:rPr>
          <w:rFonts w:ascii="Calibri" w:hAnsi="Calibri" w:cs="Times New Roman"/>
          <w:lang w:val="en-US"/>
        </w:rPr>
        <w:t xml:space="preserve"> (</w:t>
      </w:r>
      <w:r w:rsidR="009A6AC6">
        <w:rPr>
          <w:rFonts w:ascii="Calibri" w:hAnsi="Calibri" w:cs="Times New Roman"/>
          <w:lang w:val="en-US"/>
        </w:rPr>
        <w:t xml:space="preserve">in only </w:t>
      </w:r>
      <w:r w:rsidRPr="001215B9">
        <w:rPr>
          <w:rFonts w:ascii="Calibri" w:hAnsi="Calibri" w:cs="Times New Roman"/>
          <w:lang w:val="en-US"/>
        </w:rPr>
        <w:t>11</w:t>
      </w:r>
      <w:r w:rsidR="009A6AC6">
        <w:rPr>
          <w:rFonts w:ascii="Calibri" w:hAnsi="Calibri" w:cs="Times New Roman"/>
          <w:lang w:val="en-US"/>
        </w:rPr>
        <w:t xml:space="preserve">% of the agreements </w:t>
      </w:r>
      <w:r w:rsidRPr="001215B9">
        <w:rPr>
          <w:rFonts w:ascii="Calibri" w:hAnsi="Calibri" w:cs="Times New Roman"/>
          <w:lang w:val="en-US"/>
        </w:rPr>
        <w:t>for CSSs and about 20</w:t>
      </w:r>
      <w:r w:rsidR="009A6AC6">
        <w:rPr>
          <w:rFonts w:ascii="Calibri" w:hAnsi="Calibri" w:cs="Times New Roman"/>
          <w:lang w:val="en-US"/>
        </w:rPr>
        <w:t xml:space="preserve">% </w:t>
      </w:r>
      <w:r w:rsidRPr="001215B9">
        <w:rPr>
          <w:rFonts w:ascii="Calibri" w:hAnsi="Calibri" w:cs="Times New Roman"/>
          <w:lang w:val="en-US"/>
        </w:rPr>
        <w:t xml:space="preserve">for IPs). The most far-reaching commitments are likely to result from the current FTA negotiations with India </w:t>
      </w:r>
      <w:r w:rsidR="00ED1070">
        <w:rPr>
          <w:rFonts w:ascii="Calibri" w:hAnsi="Calibri" w:cs="Times New Roman"/>
          <w:lang w:val="en-US"/>
        </w:rPr>
        <w:t xml:space="preserve">– should they ever be concluded. In these negotiations, service-trade related </w:t>
      </w:r>
      <w:r w:rsidRPr="001215B9">
        <w:rPr>
          <w:rFonts w:ascii="Calibri" w:hAnsi="Calibri" w:cs="Times New Roman"/>
          <w:lang w:val="en-US"/>
        </w:rPr>
        <w:t>mobility has become one of the main issues and a potential stumbling block over which the negotiations could come to a failure (</w:t>
      </w:r>
      <w:r w:rsidRPr="00C868EA">
        <w:rPr>
          <w:rFonts w:ascii="Calibri" w:hAnsi="Calibri" w:cs="Times New Roman"/>
          <w:lang w:val="en-US"/>
        </w:rPr>
        <w:t xml:space="preserve">Interviews </w:t>
      </w:r>
      <w:r w:rsidR="0002343B" w:rsidRPr="00C868EA">
        <w:rPr>
          <w:rFonts w:ascii="Calibri" w:hAnsi="Calibri" w:cs="Times New Roman"/>
          <w:lang w:val="en-US"/>
        </w:rPr>
        <w:t>8, 9</w:t>
      </w:r>
      <w:r w:rsidRPr="001215B9">
        <w:rPr>
          <w:rFonts w:ascii="Calibri" w:hAnsi="Calibri" w:cs="Times New Roman"/>
          <w:lang w:val="en-US"/>
        </w:rPr>
        <w:t>)</w:t>
      </w:r>
      <w:r w:rsidR="00ED1070">
        <w:rPr>
          <w:rFonts w:ascii="Calibri" w:hAnsi="Calibri" w:cs="Times New Roman"/>
          <w:lang w:val="en-US"/>
        </w:rPr>
        <w:t xml:space="preserve">. As indicated by our EU interlocutors, </w:t>
      </w:r>
      <w:r w:rsidR="009D1B2A">
        <w:rPr>
          <w:rFonts w:ascii="Calibri" w:hAnsi="Calibri" w:cs="Times New Roman"/>
          <w:lang w:val="en-US"/>
        </w:rPr>
        <w:t>fulfillment</w:t>
      </w:r>
      <w:r w:rsidR="00ED1070">
        <w:rPr>
          <w:rFonts w:ascii="Calibri" w:hAnsi="Calibri" w:cs="Times New Roman"/>
          <w:lang w:val="en-US"/>
        </w:rPr>
        <w:t xml:space="preserve"> of India's requests on mode 4 would not only exceed existing commitments under other trade agreements, it would also require the widening of EU competences to negotiate immigration commitments which hitherto stil</w:t>
      </w:r>
      <w:r w:rsidR="001B7FC9">
        <w:rPr>
          <w:rFonts w:ascii="Calibri" w:hAnsi="Calibri" w:cs="Times New Roman"/>
          <w:lang w:val="en-US"/>
        </w:rPr>
        <w:t>l reside with the member states</w:t>
      </w:r>
      <w:r w:rsidRPr="001215B9">
        <w:rPr>
          <w:rFonts w:ascii="Calibri" w:hAnsi="Calibri" w:cs="Times New Roman"/>
          <w:lang w:val="en-US"/>
        </w:rPr>
        <w:t>.</w:t>
      </w:r>
    </w:p>
    <w:p w14:paraId="7F444F0B" w14:textId="77777777" w:rsidR="00662AC2" w:rsidRPr="001215B9" w:rsidRDefault="00662AC2" w:rsidP="001215B9">
      <w:pPr>
        <w:spacing w:after="120" w:line="360" w:lineRule="auto"/>
        <w:jc w:val="both"/>
        <w:rPr>
          <w:rFonts w:ascii="Calibri" w:hAnsi="Calibri" w:cs="Times New Roman"/>
          <w:lang w:val="en-US"/>
        </w:rPr>
      </w:pPr>
    </w:p>
    <w:p w14:paraId="7A995539" w14:textId="6C1D2F08" w:rsidR="00662AC2" w:rsidRPr="001215B9" w:rsidRDefault="009D1B2A" w:rsidP="001215B9">
      <w:pPr>
        <w:spacing w:after="120" w:line="360" w:lineRule="auto"/>
        <w:jc w:val="both"/>
        <w:rPr>
          <w:rFonts w:ascii="Calibri" w:hAnsi="Calibri" w:cs="Times New Roman"/>
          <w:lang w:val="en-US"/>
        </w:rPr>
      </w:pPr>
      <w:r>
        <w:rPr>
          <w:rFonts w:ascii="Calibri" w:hAnsi="Calibri" w:cs="Times New Roman"/>
          <w:lang w:val="en-US"/>
        </w:rPr>
        <w:t>So far</w:t>
      </w:r>
      <w:r w:rsidR="00846034">
        <w:rPr>
          <w:rFonts w:ascii="Calibri" w:hAnsi="Calibri" w:cs="Times New Roman"/>
          <w:lang w:val="en-US"/>
        </w:rPr>
        <w:t xml:space="preserve">, </w:t>
      </w:r>
      <w:r w:rsidR="00662AC2" w:rsidRPr="001215B9">
        <w:rPr>
          <w:rFonts w:ascii="Calibri" w:hAnsi="Calibri" w:cs="Times New Roman"/>
          <w:lang w:val="en-US"/>
        </w:rPr>
        <w:t xml:space="preserve">India </w:t>
      </w:r>
      <w:r w:rsidR="00846034">
        <w:rPr>
          <w:rFonts w:ascii="Calibri" w:hAnsi="Calibri" w:cs="Times New Roman"/>
          <w:lang w:val="en-US"/>
        </w:rPr>
        <w:t xml:space="preserve">has </w:t>
      </w:r>
      <w:r w:rsidR="00662AC2" w:rsidRPr="001215B9">
        <w:rPr>
          <w:rFonts w:ascii="Calibri" w:hAnsi="Calibri" w:cs="Times New Roman"/>
          <w:lang w:val="en-US"/>
        </w:rPr>
        <w:t xml:space="preserve">concluded four FTAs </w:t>
      </w:r>
      <w:r w:rsidR="001123B7">
        <w:rPr>
          <w:rFonts w:ascii="Calibri" w:hAnsi="Calibri" w:cs="Times New Roman"/>
          <w:lang w:val="en-US"/>
        </w:rPr>
        <w:t>covering</w:t>
      </w:r>
      <w:r w:rsidR="00662AC2" w:rsidRPr="001215B9">
        <w:rPr>
          <w:rFonts w:ascii="Calibri" w:hAnsi="Calibri" w:cs="Times New Roman"/>
          <w:lang w:val="en-US"/>
        </w:rPr>
        <w:t xml:space="preserve"> trade in services, with Singapore (2005), Korea (2010), Malaysia and Japan (2011). These FTAs </w:t>
      </w:r>
      <w:r w:rsidR="00846034">
        <w:rPr>
          <w:rFonts w:ascii="Calibri" w:hAnsi="Calibri" w:cs="Times New Roman"/>
          <w:lang w:val="en-US"/>
        </w:rPr>
        <w:t>include</w:t>
      </w:r>
      <w:r w:rsidR="001B7FC9">
        <w:rPr>
          <w:rFonts w:ascii="Calibri" w:hAnsi="Calibri" w:cs="Times New Roman"/>
          <w:lang w:val="en-US"/>
        </w:rPr>
        <w:t xml:space="preserve"> </w:t>
      </w:r>
      <w:r w:rsidR="00662AC2" w:rsidRPr="001215B9">
        <w:rPr>
          <w:rFonts w:ascii="Calibri" w:hAnsi="Calibri"/>
        </w:rPr>
        <w:t>the largest number of sub-categories of service suppliers</w:t>
      </w:r>
      <w:r w:rsidR="00662AC2" w:rsidRPr="001215B9">
        <w:rPr>
          <w:rStyle w:val="Funotenzeichen"/>
          <w:rFonts w:ascii="Calibri" w:hAnsi="Calibri"/>
        </w:rPr>
        <w:footnoteReference w:id="23"/>
      </w:r>
      <w:r w:rsidR="00662AC2" w:rsidRPr="001215B9">
        <w:rPr>
          <w:rFonts w:ascii="Calibri" w:hAnsi="Calibri"/>
        </w:rPr>
        <w:t xml:space="preserve"> de-linked from commercial presence</w:t>
      </w:r>
      <w:r w:rsidR="009602FE">
        <w:rPr>
          <w:rFonts w:ascii="Calibri" w:hAnsi="Calibri"/>
        </w:rPr>
        <w:t>:</w:t>
      </w:r>
      <w:r w:rsidR="001B7FC9">
        <w:rPr>
          <w:rFonts w:ascii="Calibri" w:hAnsi="Calibri"/>
        </w:rPr>
        <w:t xml:space="preserve"> </w:t>
      </w:r>
      <w:r w:rsidR="00CD42CA">
        <w:rPr>
          <w:rFonts w:ascii="Calibri" w:hAnsi="Calibri"/>
        </w:rPr>
        <w:t>CSSs</w:t>
      </w:r>
      <w:r w:rsidR="00662AC2" w:rsidRPr="001215B9">
        <w:rPr>
          <w:rFonts w:ascii="Calibri" w:hAnsi="Calibri"/>
        </w:rPr>
        <w:t xml:space="preserve"> and </w:t>
      </w:r>
      <w:r w:rsidR="00CD42CA">
        <w:rPr>
          <w:rFonts w:ascii="Calibri" w:hAnsi="Calibri"/>
        </w:rPr>
        <w:t>IPs</w:t>
      </w:r>
      <w:r w:rsidR="00662AC2" w:rsidRPr="001215B9">
        <w:rPr>
          <w:rFonts w:ascii="Calibri" w:hAnsi="Calibri"/>
        </w:rPr>
        <w:t xml:space="preserve">, categories that appear in almost all agreements (see Figure 1). </w:t>
      </w:r>
      <w:r w:rsidR="009602FE">
        <w:rPr>
          <w:rFonts w:ascii="Calibri" w:hAnsi="Calibri"/>
        </w:rPr>
        <w:t>T</w:t>
      </w:r>
      <w:r w:rsidR="00662AC2" w:rsidRPr="001215B9">
        <w:rPr>
          <w:rFonts w:ascii="Calibri" w:hAnsi="Calibri"/>
        </w:rPr>
        <w:t xml:space="preserve">here is no mention of ENTs or quota restrictions, and generally the requirements with regard to visa and duration of stay are clearly outlined. </w:t>
      </w:r>
      <w:r w:rsidR="00662AC2" w:rsidRPr="001215B9">
        <w:rPr>
          <w:rFonts w:ascii="Calibri" w:hAnsi="Calibri" w:cs="Times New Roman"/>
          <w:lang w:val="en-US"/>
        </w:rPr>
        <w:t xml:space="preserve">Another development is related to mobility and working rights for families (spouses, dependents) of service providers. Actually, </w:t>
      </w:r>
      <w:r w:rsidR="00846034">
        <w:rPr>
          <w:rFonts w:ascii="Calibri" w:hAnsi="Calibri" w:cs="Times New Roman"/>
          <w:lang w:val="en-US"/>
        </w:rPr>
        <w:t>to our knowledge</w:t>
      </w:r>
      <w:r w:rsidR="00662AC2" w:rsidRPr="001215B9">
        <w:rPr>
          <w:rFonts w:ascii="Calibri" w:hAnsi="Calibri" w:cs="Times New Roman"/>
          <w:lang w:val="en-US"/>
        </w:rPr>
        <w:t xml:space="preserve">, India is the only country that included this type of “family rights” provisions in its </w:t>
      </w:r>
      <w:r w:rsidR="00F87C26">
        <w:rPr>
          <w:rFonts w:ascii="Calibri" w:hAnsi="Calibri" w:cs="Times New Roman"/>
          <w:lang w:val="en-US"/>
        </w:rPr>
        <w:t>FTAs</w:t>
      </w:r>
      <w:r w:rsidR="00662AC2" w:rsidRPr="001215B9">
        <w:rPr>
          <w:rFonts w:ascii="Calibri" w:hAnsi="Calibri" w:cs="Times New Roman"/>
          <w:lang w:val="en-US"/>
        </w:rPr>
        <w:t xml:space="preserve">. India’s trading partners have offered similar commitments, in some cases even a better outcome. For example, in the FTA with Japan, the duration of stay for </w:t>
      </w:r>
      <w:r w:rsidR="0067283C">
        <w:rPr>
          <w:rFonts w:ascii="Calibri" w:hAnsi="Calibri" w:cs="Times New Roman"/>
          <w:lang w:val="en-US"/>
        </w:rPr>
        <w:t xml:space="preserve">IPs and </w:t>
      </w:r>
      <w:r w:rsidR="00662AC2" w:rsidRPr="001215B9">
        <w:rPr>
          <w:rFonts w:ascii="Calibri" w:hAnsi="Calibri" w:cs="Times New Roman"/>
          <w:lang w:val="en-US"/>
        </w:rPr>
        <w:t xml:space="preserve">CSSs coming from India is initially agreed </w:t>
      </w:r>
      <w:r w:rsidR="00846034">
        <w:rPr>
          <w:rFonts w:ascii="Calibri" w:hAnsi="Calibri" w:cs="Times New Roman"/>
          <w:lang w:val="en-US"/>
        </w:rPr>
        <w:t>for</w:t>
      </w:r>
      <w:r w:rsidR="0067283C">
        <w:rPr>
          <w:rFonts w:ascii="Calibri" w:hAnsi="Calibri" w:cs="Times New Roman"/>
          <w:lang w:val="en-US"/>
        </w:rPr>
        <w:t xml:space="preserve"> one or</w:t>
      </w:r>
      <w:r w:rsidR="001B7FC9">
        <w:rPr>
          <w:rFonts w:ascii="Calibri" w:hAnsi="Calibri" w:cs="Times New Roman"/>
          <w:lang w:val="en-US"/>
        </w:rPr>
        <w:t xml:space="preserve"> </w:t>
      </w:r>
      <w:r w:rsidR="00662AC2" w:rsidRPr="001215B9">
        <w:rPr>
          <w:rFonts w:ascii="Calibri" w:hAnsi="Calibri" w:cs="Times New Roman"/>
          <w:lang w:val="en-US"/>
        </w:rPr>
        <w:t xml:space="preserve">three years, with the possibility of renewal, while India offered to the Japanese </w:t>
      </w:r>
      <w:r w:rsidR="0067283C">
        <w:rPr>
          <w:rFonts w:ascii="Calibri" w:hAnsi="Calibri" w:cs="Times New Roman"/>
          <w:lang w:val="en-US"/>
        </w:rPr>
        <w:t xml:space="preserve">IPs and </w:t>
      </w:r>
      <w:r w:rsidR="00662AC2" w:rsidRPr="001215B9">
        <w:rPr>
          <w:rFonts w:ascii="Calibri" w:hAnsi="Calibri" w:cs="Times New Roman"/>
          <w:lang w:val="en-US"/>
        </w:rPr>
        <w:t xml:space="preserve">CSSs a maximum period of one year. </w:t>
      </w:r>
    </w:p>
    <w:p w14:paraId="67677234" w14:textId="77777777" w:rsidR="00E457C9" w:rsidRPr="001215B9" w:rsidRDefault="00E457C9" w:rsidP="001215B9">
      <w:pPr>
        <w:spacing w:after="120" w:line="360" w:lineRule="auto"/>
        <w:jc w:val="both"/>
        <w:rPr>
          <w:rFonts w:ascii="Calibri" w:hAnsi="Calibri" w:cs="Times New Roman"/>
          <w:lang w:val="en-US"/>
        </w:rPr>
      </w:pPr>
    </w:p>
    <w:p w14:paraId="06951088" w14:textId="77777777" w:rsidR="00C34FD1" w:rsidRDefault="00C34FD1" w:rsidP="001215B9">
      <w:pPr>
        <w:spacing w:after="120" w:line="360" w:lineRule="auto"/>
        <w:rPr>
          <w:rFonts w:ascii="Calibri" w:hAnsi="Calibri" w:cs="Times New Roman"/>
          <w:b/>
          <w:lang w:val="en-US"/>
        </w:rPr>
      </w:pPr>
    </w:p>
    <w:p w14:paraId="1FA7EA81" w14:textId="77777777" w:rsidR="00C34FD1" w:rsidRDefault="00615361" w:rsidP="001215B9">
      <w:pPr>
        <w:spacing w:after="120" w:line="360" w:lineRule="auto"/>
        <w:rPr>
          <w:rFonts w:ascii="Calibri" w:hAnsi="Calibri" w:cs="Times New Roman"/>
          <w:b/>
          <w:lang w:val="en-US"/>
        </w:rPr>
      </w:pPr>
      <w:r>
        <w:rPr>
          <w:rFonts w:ascii="Calibri" w:hAnsi="Calibri" w:cs="Times New Roman"/>
          <w:b/>
          <w:lang w:val="en-US"/>
        </w:rPr>
        <w:br w:type="column"/>
      </w:r>
      <w:r w:rsidR="00C34FD1">
        <w:rPr>
          <w:rFonts w:ascii="Calibri" w:hAnsi="Calibri" w:cs="Times New Roman"/>
          <w:b/>
          <w:lang w:val="en-US"/>
        </w:rPr>
        <w:lastRenderedPageBreak/>
        <w:t>The trade-migration nexus in regional integration agreements</w:t>
      </w:r>
    </w:p>
    <w:p w14:paraId="07DC1A14" w14:textId="1EF220C7" w:rsidR="00C34FD1" w:rsidRPr="00C46ED3" w:rsidRDefault="00BD3C6C" w:rsidP="00C46ED3">
      <w:pPr>
        <w:spacing w:after="120" w:line="360" w:lineRule="auto"/>
        <w:jc w:val="both"/>
        <w:rPr>
          <w:rFonts w:ascii="Calibri" w:hAnsi="Calibri" w:cs="Times New Roman"/>
          <w:lang w:val="en-US"/>
        </w:rPr>
      </w:pPr>
      <w:r>
        <w:rPr>
          <w:rFonts w:ascii="Calibri" w:hAnsi="Calibri" w:cs="Times New Roman"/>
          <w:lang w:val="en-US"/>
        </w:rPr>
        <w:t xml:space="preserve">Migration provisions have also entered the trade agenda of broader regional integration frameworks. While in some regions, such as, most comprehensively, the EU, but also the East African Community EAC or the Mercosur in Latin America, labour mobility has been embraced as a basic freedom, in other regions, labour mobility has been addressed mainly in conjuncture with the liberalization of service trade. This is the case notably for the free trade area established by the North American Free Trade Agreement NAFTA and for economic integration within ASEAN in </w:t>
      </w:r>
      <w:r w:rsidR="004D6A3D">
        <w:rPr>
          <w:rFonts w:ascii="Calibri" w:hAnsi="Calibri" w:cs="Times New Roman"/>
          <w:lang w:val="en-US"/>
        </w:rPr>
        <w:t>Southeast</w:t>
      </w:r>
      <w:r>
        <w:rPr>
          <w:rFonts w:ascii="Calibri" w:hAnsi="Calibri" w:cs="Times New Roman"/>
          <w:lang w:val="en-US"/>
        </w:rPr>
        <w:t xml:space="preserve"> Asia.</w:t>
      </w:r>
    </w:p>
    <w:p w14:paraId="21E1221F" w14:textId="49E04577" w:rsidR="004C6C31" w:rsidRPr="001215B9" w:rsidRDefault="00BD3C6C" w:rsidP="001215B9">
      <w:pPr>
        <w:spacing w:line="360" w:lineRule="auto"/>
        <w:jc w:val="both"/>
        <w:rPr>
          <w:rFonts w:ascii="Calibri" w:hAnsi="Calibri" w:cs="Times New Roman"/>
          <w:lang w:val="en-US"/>
        </w:rPr>
      </w:pPr>
      <w:r>
        <w:rPr>
          <w:rFonts w:ascii="Calibri" w:hAnsi="Calibri" w:cs="Times New Roman"/>
          <w:lang w:val="en-US"/>
        </w:rPr>
        <w:t xml:space="preserve">NAFTA </w:t>
      </w:r>
      <w:r w:rsidR="0029100A" w:rsidRPr="001215B9">
        <w:rPr>
          <w:rFonts w:ascii="Calibri" w:hAnsi="Calibri" w:cs="Times New Roman"/>
          <w:lang w:val="en-US"/>
        </w:rPr>
        <w:t xml:space="preserve">was signed in 1994 by Mexico, Canada and the US. Chapter 16 of the Agreement establishes procedures for the temporary entry of </w:t>
      </w:r>
      <w:r w:rsidR="00E26285" w:rsidRPr="001215B9">
        <w:rPr>
          <w:rFonts w:ascii="Calibri" w:hAnsi="Calibri" w:cs="Times New Roman"/>
          <w:lang w:val="en-US"/>
        </w:rPr>
        <w:t>business people, covering</w:t>
      </w:r>
      <w:r>
        <w:rPr>
          <w:rFonts w:ascii="Calibri" w:hAnsi="Calibri" w:cs="Times New Roman"/>
          <w:lang w:val="en-US"/>
        </w:rPr>
        <w:t xml:space="preserve"> similar to the categories provided for by the GATS. These include business visitors </w:t>
      </w:r>
      <w:r w:rsidR="00C968D8" w:rsidRPr="001215B9">
        <w:rPr>
          <w:rFonts w:ascii="Calibri" w:hAnsi="Calibri" w:cs="Times New Roman"/>
          <w:lang w:val="en-US"/>
        </w:rPr>
        <w:t>(</w:t>
      </w:r>
      <w:r w:rsidR="0076718F">
        <w:rPr>
          <w:rFonts w:ascii="Calibri" w:hAnsi="Calibri" w:cs="Times New Roman"/>
          <w:lang w:val="en-US"/>
        </w:rPr>
        <w:t>admitted for</w:t>
      </w:r>
      <w:r w:rsidR="00C968D8" w:rsidRPr="001215B9">
        <w:rPr>
          <w:rFonts w:ascii="Calibri" w:hAnsi="Calibri" w:cs="Times New Roman"/>
          <w:lang w:val="en-US"/>
        </w:rPr>
        <w:t xml:space="preserve"> up to 6 months</w:t>
      </w:r>
      <w:r w:rsidR="00321F4D" w:rsidRPr="001215B9">
        <w:rPr>
          <w:rFonts w:ascii="Calibri" w:hAnsi="Calibri" w:cs="Times New Roman"/>
          <w:lang w:val="en-US"/>
        </w:rPr>
        <w:t xml:space="preserve"> in the US and Canada</w:t>
      </w:r>
      <w:r w:rsidR="0076718F">
        <w:rPr>
          <w:rFonts w:ascii="Calibri" w:hAnsi="Calibri" w:cs="Times New Roman"/>
          <w:lang w:val="en-US"/>
        </w:rPr>
        <w:t>;</w:t>
      </w:r>
      <w:r w:rsidR="00321F4D" w:rsidRPr="001215B9">
        <w:rPr>
          <w:rFonts w:ascii="Calibri" w:hAnsi="Calibri" w:cs="Times New Roman"/>
          <w:lang w:val="en-US"/>
        </w:rPr>
        <w:t xml:space="preserve"> 1 year in Mexico</w:t>
      </w:r>
      <w:r w:rsidR="00C968D8" w:rsidRPr="001215B9">
        <w:rPr>
          <w:rFonts w:ascii="Calibri" w:hAnsi="Calibri" w:cs="Times New Roman"/>
          <w:lang w:val="en-US"/>
        </w:rPr>
        <w:t>)</w:t>
      </w:r>
      <w:r w:rsidR="008260BA" w:rsidRPr="001215B9">
        <w:rPr>
          <w:rFonts w:ascii="Calibri" w:hAnsi="Calibri" w:cs="Times New Roman"/>
          <w:lang w:val="en-US"/>
        </w:rPr>
        <w:t>; traders and investors carry</w:t>
      </w:r>
      <w:r w:rsidR="001F2AC6">
        <w:rPr>
          <w:rFonts w:ascii="Calibri" w:hAnsi="Calibri" w:cs="Times New Roman"/>
          <w:lang w:val="en-US"/>
        </w:rPr>
        <w:t>ing</w:t>
      </w:r>
      <w:r w:rsidR="008260BA" w:rsidRPr="001215B9">
        <w:rPr>
          <w:rFonts w:ascii="Calibri" w:hAnsi="Calibri" w:cs="Times New Roman"/>
          <w:lang w:val="en-US"/>
        </w:rPr>
        <w:t xml:space="preserve"> out trade in goods or services, and </w:t>
      </w:r>
      <w:r w:rsidR="008610B8" w:rsidRPr="001215B9">
        <w:rPr>
          <w:rFonts w:ascii="Calibri" w:hAnsi="Calibri" w:cs="Times New Roman"/>
          <w:lang w:val="en-US"/>
        </w:rPr>
        <w:t>provid</w:t>
      </w:r>
      <w:r w:rsidR="0076718F">
        <w:rPr>
          <w:rFonts w:ascii="Calibri" w:hAnsi="Calibri" w:cs="Times New Roman"/>
          <w:lang w:val="en-US"/>
        </w:rPr>
        <w:t>ing</w:t>
      </w:r>
      <w:r w:rsidR="008610B8" w:rsidRPr="001215B9">
        <w:rPr>
          <w:rFonts w:ascii="Calibri" w:hAnsi="Calibri" w:cs="Times New Roman"/>
          <w:lang w:val="en-US"/>
        </w:rPr>
        <w:t xml:space="preserve"> advice</w:t>
      </w:r>
      <w:r w:rsidR="001B7FC9">
        <w:rPr>
          <w:rFonts w:ascii="Calibri" w:hAnsi="Calibri" w:cs="Times New Roman"/>
          <w:lang w:val="en-US"/>
        </w:rPr>
        <w:t xml:space="preserve"> </w:t>
      </w:r>
      <w:r w:rsidR="004B4747" w:rsidRPr="001215B9">
        <w:rPr>
          <w:rFonts w:ascii="Calibri" w:hAnsi="Calibri" w:cs="Times New Roman"/>
          <w:lang w:val="en-US"/>
        </w:rPr>
        <w:t>for</w:t>
      </w:r>
      <w:r w:rsidR="008260BA" w:rsidRPr="001215B9">
        <w:rPr>
          <w:rFonts w:ascii="Calibri" w:hAnsi="Calibri" w:cs="Times New Roman"/>
          <w:lang w:val="en-US"/>
        </w:rPr>
        <w:t xml:space="preserve"> investment</w:t>
      </w:r>
      <w:r w:rsidR="0034189A" w:rsidRPr="001215B9">
        <w:rPr>
          <w:rFonts w:ascii="Calibri" w:hAnsi="Calibri" w:cs="Times New Roman"/>
          <w:lang w:val="en-US"/>
        </w:rPr>
        <w:t xml:space="preserve"> (duration of stay 2 years</w:t>
      </w:r>
      <w:r w:rsidR="00EE07A9">
        <w:rPr>
          <w:rFonts w:ascii="Calibri" w:hAnsi="Calibri" w:cs="Times New Roman"/>
          <w:lang w:val="en-US"/>
        </w:rPr>
        <w:t xml:space="preserve">, </w:t>
      </w:r>
      <w:r w:rsidR="0034189A" w:rsidRPr="001215B9">
        <w:rPr>
          <w:rFonts w:ascii="Calibri" w:hAnsi="Calibri" w:cs="Times New Roman"/>
          <w:lang w:val="en-US"/>
        </w:rPr>
        <w:t>renew</w:t>
      </w:r>
      <w:r w:rsidR="008610B8" w:rsidRPr="001215B9">
        <w:rPr>
          <w:rFonts w:ascii="Calibri" w:hAnsi="Calibri" w:cs="Times New Roman"/>
          <w:lang w:val="en-US"/>
        </w:rPr>
        <w:t>a</w:t>
      </w:r>
      <w:r w:rsidR="00EE07A9">
        <w:rPr>
          <w:rFonts w:ascii="Calibri" w:hAnsi="Calibri" w:cs="Times New Roman"/>
          <w:lang w:val="en-US"/>
        </w:rPr>
        <w:t>ble</w:t>
      </w:r>
      <w:r w:rsidR="0034189A" w:rsidRPr="001215B9">
        <w:rPr>
          <w:rFonts w:ascii="Calibri" w:hAnsi="Calibri" w:cs="Times New Roman"/>
          <w:lang w:val="en-US"/>
        </w:rPr>
        <w:t xml:space="preserve"> indefinitely </w:t>
      </w:r>
      <w:r w:rsidR="006459A4">
        <w:rPr>
          <w:rFonts w:ascii="Calibri" w:hAnsi="Calibri" w:cs="Times New Roman"/>
          <w:lang w:val="en-US"/>
        </w:rPr>
        <w:t>if</w:t>
      </w:r>
      <w:r w:rsidR="0034189A" w:rsidRPr="001215B9">
        <w:rPr>
          <w:rFonts w:ascii="Calibri" w:hAnsi="Calibri" w:cs="Times New Roman"/>
          <w:lang w:val="en-US"/>
        </w:rPr>
        <w:t xml:space="preserve"> they </w:t>
      </w:r>
      <w:r w:rsidR="00014DB9" w:rsidRPr="001215B9">
        <w:rPr>
          <w:rFonts w:ascii="Calibri" w:hAnsi="Calibri" w:cs="Times New Roman"/>
          <w:lang w:val="en-US"/>
        </w:rPr>
        <w:t>maintain</w:t>
      </w:r>
      <w:r w:rsidR="0034189A" w:rsidRPr="001215B9">
        <w:rPr>
          <w:rFonts w:ascii="Calibri" w:hAnsi="Calibri" w:cs="Times New Roman"/>
          <w:lang w:val="en-US"/>
        </w:rPr>
        <w:t xml:space="preserve"> their status within the </w:t>
      </w:r>
      <w:r w:rsidR="00014DB9" w:rsidRPr="001215B9">
        <w:rPr>
          <w:rFonts w:ascii="Calibri" w:hAnsi="Calibri" w:cs="Times New Roman"/>
          <w:lang w:val="en-US"/>
        </w:rPr>
        <w:t>enterprise</w:t>
      </w:r>
      <w:r w:rsidR="0034189A" w:rsidRPr="001215B9">
        <w:rPr>
          <w:rFonts w:ascii="Calibri" w:hAnsi="Calibri" w:cs="Times New Roman"/>
          <w:lang w:val="en-US"/>
        </w:rPr>
        <w:t xml:space="preserve"> in the US</w:t>
      </w:r>
      <w:r w:rsidR="00EE07A9">
        <w:rPr>
          <w:rFonts w:ascii="Calibri" w:hAnsi="Calibri" w:cs="Times New Roman"/>
          <w:lang w:val="en-US"/>
        </w:rPr>
        <w:t>;</w:t>
      </w:r>
      <w:r w:rsidR="00EC4B18" w:rsidRPr="001215B9">
        <w:rPr>
          <w:rFonts w:ascii="Calibri" w:hAnsi="Calibri" w:cs="Times New Roman"/>
          <w:lang w:val="en-US"/>
        </w:rPr>
        <w:t xml:space="preserve"> 1 </w:t>
      </w:r>
      <w:r w:rsidR="008208BB" w:rsidRPr="001215B9">
        <w:rPr>
          <w:rFonts w:ascii="Calibri" w:hAnsi="Calibri" w:cs="Times New Roman"/>
          <w:lang w:val="en-US"/>
        </w:rPr>
        <w:t>up to</w:t>
      </w:r>
      <w:r w:rsidR="00EC4B18" w:rsidRPr="001215B9">
        <w:rPr>
          <w:rFonts w:ascii="Calibri" w:hAnsi="Calibri" w:cs="Times New Roman"/>
          <w:lang w:val="en-US"/>
        </w:rPr>
        <w:t xml:space="preserve"> additional 2 years in Canada</w:t>
      </w:r>
      <w:r w:rsidR="00EE07A9">
        <w:rPr>
          <w:rFonts w:ascii="Calibri" w:hAnsi="Calibri" w:cs="Times New Roman"/>
          <w:lang w:val="en-US"/>
        </w:rPr>
        <w:t>;</w:t>
      </w:r>
      <w:r w:rsidR="008208BB" w:rsidRPr="001215B9">
        <w:rPr>
          <w:rFonts w:ascii="Calibri" w:hAnsi="Calibri" w:cs="Times New Roman"/>
          <w:lang w:val="en-US"/>
        </w:rPr>
        <w:t xml:space="preserve"> 1 up to additional 4 years in Mexico</w:t>
      </w:r>
      <w:r w:rsidR="00EC4B18" w:rsidRPr="001215B9">
        <w:rPr>
          <w:rFonts w:ascii="Calibri" w:hAnsi="Calibri" w:cs="Times New Roman"/>
          <w:lang w:val="en-US"/>
        </w:rPr>
        <w:t>)</w:t>
      </w:r>
      <w:r w:rsidR="008260BA" w:rsidRPr="001215B9">
        <w:rPr>
          <w:rFonts w:ascii="Calibri" w:hAnsi="Calibri" w:cs="Times New Roman"/>
          <w:lang w:val="en-US"/>
        </w:rPr>
        <w:t xml:space="preserve">; </w:t>
      </w:r>
      <w:r w:rsidR="00CB4281">
        <w:rPr>
          <w:rFonts w:ascii="Calibri" w:hAnsi="Calibri" w:cs="Times New Roman"/>
          <w:lang w:val="en-US"/>
        </w:rPr>
        <w:t>ICTs</w:t>
      </w:r>
      <w:r w:rsidR="00A533A5" w:rsidRPr="001215B9">
        <w:rPr>
          <w:rFonts w:ascii="Calibri" w:hAnsi="Calibri" w:cs="Times New Roman"/>
          <w:lang w:val="en-US"/>
        </w:rPr>
        <w:t xml:space="preserve"> (</w:t>
      </w:r>
      <w:r>
        <w:rPr>
          <w:rFonts w:ascii="Calibri" w:hAnsi="Calibri" w:cs="Times New Roman"/>
          <w:lang w:val="en-US"/>
        </w:rPr>
        <w:t xml:space="preserve">with a duration of stay of </w:t>
      </w:r>
      <w:r w:rsidR="00A533A5" w:rsidRPr="001215B9">
        <w:rPr>
          <w:rFonts w:ascii="Calibri" w:hAnsi="Calibri" w:cs="Times New Roman"/>
          <w:lang w:val="en-US"/>
        </w:rPr>
        <w:t>3</w:t>
      </w:r>
      <w:r w:rsidR="00B411C5">
        <w:rPr>
          <w:rFonts w:ascii="Calibri" w:hAnsi="Calibri" w:cs="Times New Roman"/>
          <w:lang w:val="en-US"/>
        </w:rPr>
        <w:t>/</w:t>
      </w:r>
      <w:r w:rsidR="00A533A5" w:rsidRPr="001215B9">
        <w:rPr>
          <w:rFonts w:ascii="Calibri" w:hAnsi="Calibri" w:cs="Times New Roman"/>
          <w:lang w:val="en-US"/>
        </w:rPr>
        <w:t xml:space="preserve">7 years, depending on managerial level </w:t>
      </w:r>
      <w:r w:rsidR="008610B8" w:rsidRPr="001215B9">
        <w:rPr>
          <w:rFonts w:ascii="Calibri" w:hAnsi="Calibri" w:cs="Times New Roman"/>
          <w:lang w:val="en-US"/>
        </w:rPr>
        <w:t>i</w:t>
      </w:r>
      <w:r w:rsidR="00A533A5" w:rsidRPr="001215B9">
        <w:rPr>
          <w:rFonts w:ascii="Calibri" w:hAnsi="Calibri" w:cs="Times New Roman"/>
          <w:lang w:val="en-US"/>
        </w:rPr>
        <w:t>n Canada</w:t>
      </w:r>
      <w:r w:rsidR="00EE07A9">
        <w:rPr>
          <w:rFonts w:ascii="Calibri" w:hAnsi="Calibri" w:cs="Times New Roman"/>
          <w:lang w:val="en-US"/>
        </w:rPr>
        <w:t>;</w:t>
      </w:r>
      <w:r w:rsidR="004D6A3D">
        <w:rPr>
          <w:rFonts w:ascii="Calibri" w:hAnsi="Calibri" w:cs="Times New Roman"/>
          <w:lang w:val="en-US"/>
        </w:rPr>
        <w:t xml:space="preserve"> </w:t>
      </w:r>
      <w:r w:rsidR="00FD0CCD" w:rsidRPr="001215B9">
        <w:rPr>
          <w:rFonts w:ascii="Calibri" w:hAnsi="Calibri" w:cs="Times New Roman"/>
          <w:lang w:val="en-US"/>
        </w:rPr>
        <w:t>1/</w:t>
      </w:r>
      <w:r w:rsidR="00CB3AC2" w:rsidRPr="001215B9">
        <w:rPr>
          <w:rFonts w:ascii="Calibri" w:hAnsi="Calibri" w:cs="Times New Roman"/>
          <w:lang w:val="en-US"/>
        </w:rPr>
        <w:t>3 years</w:t>
      </w:r>
      <w:r w:rsidR="00FD0CCD" w:rsidRPr="001215B9">
        <w:rPr>
          <w:rFonts w:ascii="Calibri" w:hAnsi="Calibri" w:cs="Times New Roman"/>
          <w:lang w:val="en-US"/>
        </w:rPr>
        <w:t xml:space="preserve"> up to 5/7 years</w:t>
      </w:r>
      <w:r w:rsidR="00CB3AC2" w:rsidRPr="001215B9">
        <w:rPr>
          <w:rFonts w:ascii="Calibri" w:hAnsi="Calibri" w:cs="Times New Roman"/>
          <w:lang w:val="en-US"/>
        </w:rPr>
        <w:t xml:space="preserve"> in the US</w:t>
      </w:r>
      <w:r w:rsidR="00EE07A9">
        <w:rPr>
          <w:rFonts w:ascii="Calibri" w:hAnsi="Calibri" w:cs="Times New Roman"/>
          <w:lang w:val="en-US"/>
        </w:rPr>
        <w:t>;</w:t>
      </w:r>
      <w:r w:rsidR="00CB3AC2" w:rsidRPr="001215B9">
        <w:rPr>
          <w:rFonts w:ascii="Calibri" w:hAnsi="Calibri" w:cs="Times New Roman"/>
          <w:lang w:val="en-US"/>
        </w:rPr>
        <w:t xml:space="preserve"> and 1 up to 4 years in Mexico</w:t>
      </w:r>
      <w:r w:rsidR="00A533A5" w:rsidRPr="001215B9">
        <w:rPr>
          <w:rFonts w:ascii="Calibri" w:hAnsi="Calibri" w:cs="Times New Roman"/>
          <w:lang w:val="en-US"/>
        </w:rPr>
        <w:t>)</w:t>
      </w:r>
      <w:r w:rsidR="008610B8" w:rsidRPr="001215B9">
        <w:rPr>
          <w:rFonts w:ascii="Calibri" w:hAnsi="Calibri" w:cs="Times New Roman"/>
          <w:lang w:val="en-US"/>
        </w:rPr>
        <w:t xml:space="preserve">; </w:t>
      </w:r>
      <w:r>
        <w:rPr>
          <w:rFonts w:ascii="Calibri" w:hAnsi="Calibri" w:cs="Times New Roman"/>
          <w:lang w:val="en-US"/>
        </w:rPr>
        <w:t>and</w:t>
      </w:r>
      <w:r w:rsidR="001B7FC9">
        <w:rPr>
          <w:rFonts w:ascii="Calibri" w:hAnsi="Calibri" w:cs="Times New Roman"/>
          <w:lang w:val="en-US"/>
        </w:rPr>
        <w:t xml:space="preserve"> </w:t>
      </w:r>
      <w:r w:rsidR="008260BA" w:rsidRPr="001215B9">
        <w:rPr>
          <w:rFonts w:ascii="Calibri" w:hAnsi="Calibri" w:cs="Times New Roman"/>
          <w:lang w:val="en-US"/>
        </w:rPr>
        <w:t>professionals</w:t>
      </w:r>
      <w:r w:rsidR="001B7FC9">
        <w:rPr>
          <w:rFonts w:ascii="Calibri" w:hAnsi="Calibri" w:cs="Times New Roman"/>
          <w:lang w:val="en-US"/>
        </w:rPr>
        <w:t xml:space="preserve"> </w:t>
      </w:r>
      <w:r w:rsidR="00D862D5" w:rsidRPr="001215B9">
        <w:rPr>
          <w:rFonts w:ascii="Calibri" w:hAnsi="Calibri" w:cs="Times New Roman"/>
          <w:lang w:val="en-US"/>
        </w:rPr>
        <w:t>with</w:t>
      </w:r>
      <w:r w:rsidR="008610B8" w:rsidRPr="001215B9">
        <w:rPr>
          <w:rFonts w:ascii="Calibri" w:hAnsi="Calibri" w:cs="Times New Roman"/>
          <w:lang w:val="en-US"/>
        </w:rPr>
        <w:t xml:space="preserve"> minimum bac</w:t>
      </w:r>
      <w:r w:rsidR="00D862D5" w:rsidRPr="001215B9">
        <w:rPr>
          <w:rFonts w:ascii="Calibri" w:hAnsi="Calibri" w:cs="Times New Roman"/>
          <w:lang w:val="en-US"/>
        </w:rPr>
        <w:t>c</w:t>
      </w:r>
      <w:r w:rsidR="008610B8" w:rsidRPr="001215B9">
        <w:rPr>
          <w:rFonts w:ascii="Calibri" w:hAnsi="Calibri" w:cs="Times New Roman"/>
          <w:lang w:val="en-US"/>
        </w:rPr>
        <w:t>alaur</w:t>
      </w:r>
      <w:r w:rsidR="00D862D5" w:rsidRPr="001215B9">
        <w:rPr>
          <w:rFonts w:ascii="Calibri" w:hAnsi="Calibri" w:cs="Times New Roman"/>
          <w:lang w:val="en-US"/>
        </w:rPr>
        <w:t>ea</w:t>
      </w:r>
      <w:r w:rsidR="008610B8" w:rsidRPr="001215B9">
        <w:rPr>
          <w:rFonts w:ascii="Calibri" w:hAnsi="Calibri" w:cs="Times New Roman"/>
          <w:lang w:val="en-US"/>
        </w:rPr>
        <w:t xml:space="preserve">te degree </w:t>
      </w:r>
      <w:r w:rsidR="00D862D5" w:rsidRPr="001215B9">
        <w:rPr>
          <w:rFonts w:ascii="Calibri" w:hAnsi="Calibri" w:cs="Times New Roman"/>
          <w:lang w:val="en-US"/>
        </w:rPr>
        <w:t>working in specific sectors</w:t>
      </w:r>
      <w:r>
        <w:rPr>
          <w:rFonts w:ascii="Calibri" w:hAnsi="Calibri" w:cs="Times New Roman"/>
          <w:lang w:val="en-US"/>
        </w:rPr>
        <w:t>.</w:t>
      </w:r>
      <w:r w:rsidR="00045445">
        <w:rPr>
          <w:rStyle w:val="Funotenzeichen"/>
          <w:rFonts w:ascii="Calibri" w:hAnsi="Calibri" w:cs="Times New Roman"/>
          <w:lang w:val="en-US"/>
        </w:rPr>
        <w:footnoteReference w:id="24"/>
      </w:r>
      <w:r w:rsidR="001B7FC9">
        <w:rPr>
          <w:rFonts w:ascii="Calibri" w:hAnsi="Calibri" w:cs="Times New Roman"/>
          <w:lang w:val="en-US"/>
        </w:rPr>
        <w:t xml:space="preserve"> </w:t>
      </w:r>
      <w:r w:rsidR="004C6C31" w:rsidRPr="001215B9">
        <w:rPr>
          <w:rFonts w:ascii="Calibri" w:hAnsi="Calibri" w:cs="Times New Roman"/>
          <w:lang w:val="en-US"/>
        </w:rPr>
        <w:t>Contrary to the GATS</w:t>
      </w:r>
      <w:r>
        <w:rPr>
          <w:rFonts w:ascii="Calibri" w:hAnsi="Calibri" w:cs="Times New Roman"/>
          <w:lang w:val="en-US"/>
        </w:rPr>
        <w:t>, however</w:t>
      </w:r>
      <w:r w:rsidR="004C6C31" w:rsidRPr="001215B9">
        <w:rPr>
          <w:rFonts w:ascii="Calibri" w:hAnsi="Calibri" w:cs="Times New Roman"/>
          <w:lang w:val="en-US"/>
        </w:rPr>
        <w:t>, these business</w:t>
      </w:r>
      <w:r w:rsidR="001B7FC9">
        <w:rPr>
          <w:rFonts w:ascii="Calibri" w:hAnsi="Calibri" w:cs="Times New Roman"/>
          <w:lang w:val="en-US"/>
        </w:rPr>
        <w:t xml:space="preserve"> </w:t>
      </w:r>
      <w:r w:rsidR="004C6C31" w:rsidRPr="001215B9">
        <w:rPr>
          <w:rFonts w:ascii="Calibri" w:hAnsi="Calibri" w:cs="Times New Roman"/>
          <w:lang w:val="en-US"/>
        </w:rPr>
        <w:t>people are not limited to services and may include persons engaged in activities related to agriculture or manufacturing.</w:t>
      </w:r>
      <w:r w:rsidR="001B7FC9">
        <w:rPr>
          <w:rFonts w:ascii="Calibri" w:hAnsi="Calibri" w:cs="Times New Roman"/>
          <w:lang w:val="en-US"/>
        </w:rPr>
        <w:t xml:space="preserve"> </w:t>
      </w:r>
      <w:r w:rsidR="003C0159" w:rsidRPr="001215B9">
        <w:rPr>
          <w:rFonts w:ascii="Calibri" w:hAnsi="Calibri" w:cs="Times New Roman"/>
          <w:lang w:val="en-US"/>
        </w:rPr>
        <w:t>It should be mentioned that u</w:t>
      </w:r>
      <w:r w:rsidR="00607B1F" w:rsidRPr="001215B9">
        <w:rPr>
          <w:rFonts w:ascii="Calibri" w:hAnsi="Calibri" w:cs="Times New Roman"/>
          <w:lang w:val="en-US"/>
        </w:rPr>
        <w:t xml:space="preserve">ntil 2004 professionals from Mexico </w:t>
      </w:r>
      <w:r w:rsidR="003C0159" w:rsidRPr="001215B9">
        <w:rPr>
          <w:rFonts w:ascii="Calibri" w:hAnsi="Calibri" w:cs="Times New Roman"/>
          <w:lang w:val="en-US"/>
        </w:rPr>
        <w:t xml:space="preserve">entering the US under NAFTA were </w:t>
      </w:r>
      <w:r w:rsidR="00607B1F" w:rsidRPr="001215B9">
        <w:rPr>
          <w:rFonts w:ascii="Calibri" w:hAnsi="Calibri" w:cs="Times New Roman"/>
          <w:lang w:val="en-US"/>
        </w:rPr>
        <w:t xml:space="preserve">limited to 5,500 per year. </w:t>
      </w:r>
      <w:r>
        <w:rPr>
          <w:rFonts w:ascii="Calibri" w:hAnsi="Calibri" w:cs="Times New Roman"/>
          <w:lang w:val="en-US"/>
        </w:rPr>
        <w:t>Consecutively, a</w:t>
      </w:r>
      <w:r w:rsidR="00FB0BB5" w:rsidRPr="001215B9">
        <w:rPr>
          <w:rFonts w:ascii="Calibri" w:hAnsi="Calibri" w:cs="Times New Roman"/>
          <w:lang w:val="en-US"/>
        </w:rPr>
        <w:t xml:space="preserve"> special Treaty NAFTA (TN) non-immigrant visa category has been created for </w:t>
      </w:r>
      <w:r w:rsidR="002877AA">
        <w:rPr>
          <w:rFonts w:ascii="Calibri" w:hAnsi="Calibri" w:cs="Times New Roman"/>
          <w:lang w:val="en-US"/>
        </w:rPr>
        <w:t>all</w:t>
      </w:r>
      <w:r w:rsidR="001B7FC9">
        <w:rPr>
          <w:rFonts w:ascii="Calibri" w:hAnsi="Calibri" w:cs="Times New Roman"/>
          <w:lang w:val="en-US"/>
        </w:rPr>
        <w:t xml:space="preserve"> </w:t>
      </w:r>
      <w:r w:rsidR="00FB0BB5" w:rsidRPr="001215B9">
        <w:rPr>
          <w:rFonts w:ascii="Calibri" w:hAnsi="Calibri" w:cs="Times New Roman"/>
          <w:lang w:val="en-US"/>
        </w:rPr>
        <w:t>professionals who possess certification of employment</w:t>
      </w:r>
      <w:r w:rsidR="000B29AB" w:rsidRPr="001215B9">
        <w:rPr>
          <w:rFonts w:ascii="Calibri" w:hAnsi="Calibri" w:cs="Times New Roman"/>
          <w:lang w:val="en-US"/>
        </w:rPr>
        <w:t xml:space="preserve">, which is initially valid for 1 year, but may be renewed indefinitely provided that there is no intention of pursuing full-time employment. </w:t>
      </w:r>
      <w:r w:rsidR="00FB0BB5" w:rsidRPr="001215B9">
        <w:rPr>
          <w:rFonts w:ascii="Calibri" w:hAnsi="Calibri" w:cs="Times New Roman"/>
          <w:lang w:val="en-US"/>
        </w:rPr>
        <w:t>TN visa holders receive temporary residence and s</w:t>
      </w:r>
      <w:r w:rsidR="00BD5876" w:rsidRPr="001215B9">
        <w:rPr>
          <w:rFonts w:ascii="Calibri" w:hAnsi="Calibri" w:cs="Times New Roman"/>
          <w:lang w:val="en-US"/>
        </w:rPr>
        <w:t xml:space="preserve">pouses and </w:t>
      </w:r>
      <w:r w:rsidR="00FB0BB5" w:rsidRPr="001215B9">
        <w:rPr>
          <w:rFonts w:ascii="Calibri" w:hAnsi="Calibri" w:cs="Times New Roman"/>
          <w:lang w:val="en-US"/>
        </w:rPr>
        <w:t>children under the age of 21 who are accompanying TN visa holders can receive a derivative visa</w:t>
      </w:r>
      <w:r w:rsidR="00BD5876" w:rsidRPr="001215B9">
        <w:rPr>
          <w:rFonts w:ascii="Calibri" w:hAnsi="Calibri" w:cs="Times New Roman"/>
          <w:lang w:val="en-US"/>
        </w:rPr>
        <w:t xml:space="preserve">. </w:t>
      </w:r>
      <w:r w:rsidR="001C26E1">
        <w:rPr>
          <w:rFonts w:ascii="Calibri" w:hAnsi="Calibri" w:cs="Times New Roman"/>
          <w:lang w:val="en-US"/>
        </w:rPr>
        <w:t>T</w:t>
      </w:r>
      <w:r w:rsidR="00BD5876" w:rsidRPr="001215B9">
        <w:rPr>
          <w:rFonts w:ascii="Calibri" w:hAnsi="Calibri" w:cs="Times New Roman"/>
          <w:lang w:val="en-US"/>
        </w:rPr>
        <w:t>his does</w:t>
      </w:r>
      <w:r w:rsidR="001B7FC9">
        <w:rPr>
          <w:rFonts w:ascii="Calibri" w:hAnsi="Calibri" w:cs="Times New Roman"/>
          <w:lang w:val="en-US"/>
        </w:rPr>
        <w:t xml:space="preserve"> </w:t>
      </w:r>
      <w:r w:rsidR="00BD5876" w:rsidRPr="001215B9">
        <w:rPr>
          <w:rFonts w:ascii="Calibri" w:hAnsi="Calibri" w:cs="Times New Roman"/>
          <w:lang w:val="en-US"/>
        </w:rPr>
        <w:t>not grant working rights,</w:t>
      </w:r>
      <w:r w:rsidR="00FB0BB5" w:rsidRPr="001215B9">
        <w:rPr>
          <w:rFonts w:ascii="Calibri" w:hAnsi="Calibri" w:cs="Times New Roman"/>
          <w:lang w:val="en-US"/>
        </w:rPr>
        <w:t xml:space="preserve"> but </w:t>
      </w:r>
      <w:r w:rsidR="00BD5876" w:rsidRPr="001215B9">
        <w:rPr>
          <w:rFonts w:ascii="Calibri" w:hAnsi="Calibri" w:cs="Times New Roman"/>
          <w:lang w:val="en-US"/>
        </w:rPr>
        <w:t>allows</w:t>
      </w:r>
      <w:r w:rsidR="00FB0BB5" w:rsidRPr="001215B9">
        <w:rPr>
          <w:rFonts w:ascii="Calibri" w:hAnsi="Calibri" w:cs="Times New Roman"/>
          <w:lang w:val="en-US"/>
        </w:rPr>
        <w:t xml:space="preserve"> study</w:t>
      </w:r>
      <w:r w:rsidR="00BD5876" w:rsidRPr="001215B9">
        <w:rPr>
          <w:rFonts w:ascii="Calibri" w:hAnsi="Calibri" w:cs="Times New Roman"/>
          <w:lang w:val="en-US"/>
        </w:rPr>
        <w:t>ing</w:t>
      </w:r>
      <w:r w:rsidR="00FB0BB5" w:rsidRPr="001215B9">
        <w:rPr>
          <w:rFonts w:ascii="Calibri" w:hAnsi="Calibri" w:cs="Times New Roman"/>
          <w:lang w:val="en-US"/>
        </w:rPr>
        <w:t>.</w:t>
      </w:r>
    </w:p>
    <w:p w14:paraId="54E6C339" w14:textId="16288B9E" w:rsidR="009078A3" w:rsidRPr="001215B9" w:rsidRDefault="008C2E29" w:rsidP="009078A3">
      <w:pPr>
        <w:spacing w:line="360" w:lineRule="auto"/>
        <w:jc w:val="both"/>
        <w:rPr>
          <w:rFonts w:ascii="Calibri" w:hAnsi="Calibri" w:cs="Times New Roman"/>
          <w:lang w:val="en-US"/>
        </w:rPr>
      </w:pPr>
      <w:r>
        <w:rPr>
          <w:rFonts w:ascii="Calibri" w:hAnsi="Calibri" w:cs="Times New Roman"/>
          <w:lang w:val="en-US"/>
        </w:rPr>
        <w:t>There are also</w:t>
      </w:r>
      <w:r w:rsidR="001B7FC9">
        <w:rPr>
          <w:rFonts w:ascii="Calibri" w:hAnsi="Calibri" w:cs="Times New Roman"/>
          <w:lang w:val="en-US"/>
        </w:rPr>
        <w:t xml:space="preserve"> </w:t>
      </w:r>
      <w:r w:rsidR="00CF4634" w:rsidRPr="001215B9">
        <w:rPr>
          <w:rFonts w:ascii="Calibri" w:hAnsi="Calibri" w:cs="Times New Roman"/>
          <w:lang w:val="en-US"/>
        </w:rPr>
        <w:t>provisions on certification and r</w:t>
      </w:r>
      <w:r w:rsidR="00591D81" w:rsidRPr="001215B9">
        <w:rPr>
          <w:rFonts w:ascii="Calibri" w:hAnsi="Calibri" w:cs="Times New Roman"/>
          <w:lang w:val="en-US"/>
        </w:rPr>
        <w:t>ecognition of licensing</w:t>
      </w:r>
      <w:r w:rsidR="00CF4634" w:rsidRPr="001215B9">
        <w:rPr>
          <w:rFonts w:ascii="Calibri" w:hAnsi="Calibri" w:cs="Times New Roman"/>
          <w:lang w:val="en-US"/>
        </w:rPr>
        <w:t>. S</w:t>
      </w:r>
      <w:r w:rsidR="00A81D2D" w:rsidRPr="001215B9">
        <w:rPr>
          <w:rFonts w:ascii="Calibri" w:hAnsi="Calibri" w:cs="Times New Roman"/>
          <w:lang w:val="en-US"/>
        </w:rPr>
        <w:t>pecificall</w:t>
      </w:r>
      <w:r w:rsidR="00CF4634" w:rsidRPr="001215B9">
        <w:rPr>
          <w:rFonts w:ascii="Calibri" w:hAnsi="Calibri" w:cs="Times New Roman"/>
          <w:lang w:val="en-US"/>
        </w:rPr>
        <w:t xml:space="preserve">y for professionals, the parties </w:t>
      </w:r>
      <w:r w:rsidR="00A81D2D" w:rsidRPr="001215B9">
        <w:rPr>
          <w:rFonts w:ascii="Calibri" w:hAnsi="Calibri" w:cs="Times New Roman"/>
          <w:lang w:val="en-US"/>
        </w:rPr>
        <w:t xml:space="preserve">have </w:t>
      </w:r>
      <w:r w:rsidR="00CF4634" w:rsidRPr="001215B9">
        <w:rPr>
          <w:rFonts w:ascii="Calibri" w:hAnsi="Calibri" w:cs="Times New Roman"/>
          <w:lang w:val="en-US"/>
        </w:rPr>
        <w:t xml:space="preserve">agreed upon </w:t>
      </w:r>
      <w:r w:rsidR="00A81D2D" w:rsidRPr="001215B9">
        <w:rPr>
          <w:rFonts w:ascii="Calibri" w:hAnsi="Calibri" w:cs="Times New Roman"/>
          <w:lang w:val="en-US"/>
        </w:rPr>
        <w:t>MRA</w:t>
      </w:r>
      <w:r w:rsidR="00CF4634" w:rsidRPr="001215B9">
        <w:rPr>
          <w:rFonts w:ascii="Calibri" w:hAnsi="Calibri" w:cs="Times New Roman"/>
          <w:lang w:val="en-US"/>
        </w:rPr>
        <w:t>s</w:t>
      </w:r>
      <w:r w:rsidR="00E078B1">
        <w:rPr>
          <w:rFonts w:ascii="Calibri" w:hAnsi="Calibri" w:cs="Times New Roman"/>
          <w:lang w:val="en-US"/>
        </w:rPr>
        <w:t xml:space="preserve"> </w:t>
      </w:r>
      <w:r w:rsidR="00E61344">
        <w:rPr>
          <w:rFonts w:ascii="Calibri" w:hAnsi="Calibri" w:cs="Times New Roman"/>
          <w:lang w:val="en-US"/>
        </w:rPr>
        <w:t>for</w:t>
      </w:r>
      <w:r w:rsidR="008955F9" w:rsidRPr="001215B9">
        <w:rPr>
          <w:rFonts w:ascii="Calibri" w:hAnsi="Calibri" w:cs="Times New Roman"/>
          <w:lang w:val="en-US"/>
        </w:rPr>
        <w:t xml:space="preserve"> accountancy, architecture and e</w:t>
      </w:r>
      <w:r w:rsidR="00A81D2D" w:rsidRPr="001215B9">
        <w:rPr>
          <w:rFonts w:ascii="Calibri" w:hAnsi="Calibri" w:cs="Times New Roman"/>
          <w:lang w:val="en-US"/>
        </w:rPr>
        <w:t>ngineering.</w:t>
      </w:r>
      <w:r w:rsidR="00E078B1">
        <w:rPr>
          <w:rFonts w:ascii="Calibri" w:hAnsi="Calibri" w:cs="Times New Roman"/>
          <w:lang w:val="en-US"/>
        </w:rPr>
        <w:t xml:space="preserve"> </w:t>
      </w:r>
      <w:r w:rsidR="00250B33" w:rsidRPr="001215B9">
        <w:rPr>
          <w:rFonts w:ascii="Calibri" w:hAnsi="Calibri" w:cs="Times New Roman"/>
          <w:lang w:val="en-US"/>
        </w:rPr>
        <w:t xml:space="preserve">The MRA for architects is an example where </w:t>
      </w:r>
      <w:r w:rsidR="00CF4634" w:rsidRPr="001215B9">
        <w:rPr>
          <w:rFonts w:ascii="Calibri" w:hAnsi="Calibri" w:cs="Times New Roman"/>
          <w:lang w:val="en-US"/>
        </w:rPr>
        <w:t>the Mexican Federation of Architects</w:t>
      </w:r>
      <w:r w:rsidR="00250B33" w:rsidRPr="001215B9">
        <w:rPr>
          <w:rFonts w:ascii="Calibri" w:hAnsi="Calibri" w:cs="Times New Roman"/>
          <w:lang w:val="en-US"/>
        </w:rPr>
        <w:t xml:space="preserve"> has </w:t>
      </w:r>
      <w:r w:rsidR="009078A3">
        <w:rPr>
          <w:rFonts w:ascii="Calibri" w:hAnsi="Calibri" w:cs="Times New Roman"/>
          <w:lang w:val="en-US"/>
        </w:rPr>
        <w:t xml:space="preserve">managed to facilitate recognition procedures: licensing from the </w:t>
      </w:r>
      <w:r w:rsidR="009078A3" w:rsidRPr="001215B9">
        <w:rPr>
          <w:rFonts w:ascii="Calibri" w:hAnsi="Calibri" w:cs="Times New Roman"/>
          <w:lang w:val="en-US"/>
        </w:rPr>
        <w:t>so-called “Tri-national Council” for architects</w:t>
      </w:r>
      <w:r w:rsidR="009078A3">
        <w:rPr>
          <w:rFonts w:ascii="Calibri" w:hAnsi="Calibri" w:cs="Times New Roman"/>
          <w:lang w:val="en-US"/>
        </w:rPr>
        <w:t xml:space="preserve"> is done </w:t>
      </w:r>
      <w:r w:rsidR="009078A3" w:rsidRPr="001215B9">
        <w:rPr>
          <w:rFonts w:ascii="Calibri" w:hAnsi="Calibri" w:cs="Times New Roman"/>
          <w:lang w:val="en-US"/>
        </w:rPr>
        <w:t>based on a dossier/portfolio of the applicant and possibly an interview, but without additional examination</w:t>
      </w:r>
      <w:r w:rsidR="009078A3">
        <w:rPr>
          <w:rFonts w:ascii="Calibri" w:hAnsi="Calibri" w:cs="Times New Roman"/>
          <w:lang w:val="en-US"/>
        </w:rPr>
        <w:t>s, requirements</w:t>
      </w:r>
      <w:r w:rsidR="009078A3" w:rsidRPr="001215B9">
        <w:rPr>
          <w:rFonts w:ascii="Calibri" w:hAnsi="Calibri" w:cs="Times New Roman"/>
          <w:lang w:val="en-US"/>
        </w:rPr>
        <w:t xml:space="preserve"> that </w:t>
      </w:r>
      <w:r w:rsidR="009078A3">
        <w:rPr>
          <w:rFonts w:ascii="Calibri" w:hAnsi="Calibri" w:cs="Times New Roman"/>
          <w:lang w:val="en-US"/>
        </w:rPr>
        <w:t>still apply</w:t>
      </w:r>
      <w:r w:rsidR="009078A3" w:rsidRPr="001215B9">
        <w:rPr>
          <w:rFonts w:ascii="Calibri" w:hAnsi="Calibri" w:cs="Times New Roman"/>
          <w:lang w:val="en-US"/>
        </w:rPr>
        <w:t xml:space="preserve"> for other professions (</w:t>
      </w:r>
      <w:r w:rsidR="009078A3" w:rsidRPr="00C868EA">
        <w:rPr>
          <w:rFonts w:ascii="Calibri" w:hAnsi="Calibri" w:cs="Times New Roman"/>
          <w:lang w:val="en-US"/>
        </w:rPr>
        <w:t xml:space="preserve">Interview </w:t>
      </w:r>
      <w:r w:rsidR="00810AAC" w:rsidRPr="00C868EA">
        <w:rPr>
          <w:rFonts w:ascii="Calibri" w:hAnsi="Calibri" w:cs="Times New Roman"/>
          <w:lang w:val="en-US"/>
        </w:rPr>
        <w:t>10</w:t>
      </w:r>
      <w:r w:rsidR="009078A3" w:rsidRPr="00C868EA">
        <w:rPr>
          <w:rFonts w:ascii="Calibri" w:hAnsi="Calibri" w:cs="Times New Roman"/>
          <w:lang w:val="en-US"/>
        </w:rPr>
        <w:t>).</w:t>
      </w:r>
    </w:p>
    <w:p w14:paraId="21726C37" w14:textId="0B61CC0B" w:rsidR="00BD3C6C" w:rsidRDefault="008E7899" w:rsidP="001215B9">
      <w:pPr>
        <w:spacing w:line="360" w:lineRule="auto"/>
        <w:jc w:val="both"/>
        <w:rPr>
          <w:rFonts w:ascii="Calibri" w:hAnsi="Calibri" w:cs="Times New Roman"/>
          <w:lang w:val="en-US"/>
        </w:rPr>
      </w:pPr>
      <w:r w:rsidRPr="001215B9">
        <w:rPr>
          <w:rFonts w:ascii="Calibri" w:hAnsi="Calibri" w:cs="Times New Roman"/>
          <w:lang w:val="en-US"/>
        </w:rPr>
        <w:t xml:space="preserve">Overall, </w:t>
      </w:r>
      <w:r w:rsidR="0054752E" w:rsidRPr="001215B9">
        <w:rPr>
          <w:rFonts w:ascii="Calibri" w:hAnsi="Calibri" w:cs="Times New Roman"/>
          <w:lang w:val="en-US"/>
        </w:rPr>
        <w:t xml:space="preserve">NAFTA provisions for temporary entry eliminated </w:t>
      </w:r>
      <w:r w:rsidRPr="001215B9">
        <w:rPr>
          <w:rFonts w:ascii="Calibri" w:hAnsi="Calibri" w:cs="Times New Roman"/>
          <w:lang w:val="en-US"/>
        </w:rPr>
        <w:t xml:space="preserve">or reduced </w:t>
      </w:r>
      <w:r w:rsidR="0054752E" w:rsidRPr="001215B9">
        <w:rPr>
          <w:rFonts w:ascii="Calibri" w:hAnsi="Calibri" w:cs="Times New Roman"/>
          <w:lang w:val="en-US"/>
        </w:rPr>
        <w:t xml:space="preserve">some of the </w:t>
      </w:r>
      <w:r w:rsidRPr="001215B9">
        <w:rPr>
          <w:rFonts w:ascii="Calibri" w:hAnsi="Calibri" w:cs="Times New Roman"/>
          <w:lang w:val="en-US"/>
        </w:rPr>
        <w:t xml:space="preserve">hurdles related to labour certifications, work permit, or numerical restrictions. While the system has introduced elements of harmonization for business mobility, transparency and faster processing of applications, </w:t>
      </w:r>
      <w:r w:rsidR="00030791" w:rsidRPr="001215B9">
        <w:rPr>
          <w:rFonts w:ascii="Calibri" w:hAnsi="Calibri" w:cs="Times New Roman"/>
          <w:lang w:val="en-US"/>
        </w:rPr>
        <w:t xml:space="preserve">it is also </w:t>
      </w:r>
      <w:r w:rsidR="00030791" w:rsidRPr="001215B9">
        <w:rPr>
          <w:rFonts w:ascii="Calibri" w:hAnsi="Calibri" w:cs="Times New Roman"/>
          <w:lang w:val="en-US"/>
        </w:rPr>
        <w:lastRenderedPageBreak/>
        <w:t xml:space="preserve">sometimes </w:t>
      </w:r>
      <w:r w:rsidR="00441175">
        <w:rPr>
          <w:rFonts w:ascii="Calibri" w:hAnsi="Calibri" w:cs="Times New Roman"/>
          <w:lang w:val="en-US"/>
        </w:rPr>
        <w:t>considered</w:t>
      </w:r>
      <w:r w:rsidR="00030791" w:rsidRPr="001215B9">
        <w:rPr>
          <w:rFonts w:ascii="Calibri" w:hAnsi="Calibri" w:cs="Times New Roman"/>
          <w:lang w:val="en-US"/>
        </w:rPr>
        <w:t xml:space="preserve"> rigid, and especially </w:t>
      </w:r>
      <w:r w:rsidR="00F43638" w:rsidRPr="001215B9">
        <w:rPr>
          <w:rFonts w:ascii="Calibri" w:hAnsi="Calibri" w:cs="Times New Roman"/>
          <w:lang w:val="en-US"/>
        </w:rPr>
        <w:t>difficult to ex</w:t>
      </w:r>
      <w:r w:rsidR="00030791" w:rsidRPr="001215B9">
        <w:rPr>
          <w:rFonts w:ascii="Calibri" w:hAnsi="Calibri" w:cs="Times New Roman"/>
          <w:lang w:val="en-US"/>
        </w:rPr>
        <w:t>pand</w:t>
      </w:r>
      <w:r w:rsidR="00F43638" w:rsidRPr="001215B9">
        <w:rPr>
          <w:rFonts w:ascii="Calibri" w:hAnsi="Calibri" w:cs="Times New Roman"/>
          <w:lang w:val="en-US"/>
        </w:rPr>
        <w:t xml:space="preserve"> its coverage </w:t>
      </w:r>
      <w:r w:rsidRPr="001215B9">
        <w:rPr>
          <w:rFonts w:ascii="Calibri" w:hAnsi="Calibri" w:cs="Times New Roman"/>
          <w:lang w:val="en-US"/>
        </w:rPr>
        <w:t xml:space="preserve">to </w:t>
      </w:r>
      <w:r w:rsidR="00197F02" w:rsidRPr="001215B9">
        <w:rPr>
          <w:rFonts w:ascii="Calibri" w:hAnsi="Calibri" w:cs="Times New Roman"/>
          <w:lang w:val="en-US"/>
        </w:rPr>
        <w:t xml:space="preserve">other </w:t>
      </w:r>
      <w:r w:rsidR="00F43638" w:rsidRPr="001215B9">
        <w:rPr>
          <w:rFonts w:ascii="Calibri" w:hAnsi="Calibri" w:cs="Times New Roman"/>
          <w:lang w:val="en-US"/>
        </w:rPr>
        <w:t xml:space="preserve">categories of </w:t>
      </w:r>
      <w:r w:rsidR="00197F02" w:rsidRPr="001215B9">
        <w:rPr>
          <w:rFonts w:ascii="Calibri" w:hAnsi="Calibri" w:cs="Times New Roman"/>
          <w:lang w:val="en-US"/>
        </w:rPr>
        <w:t>people</w:t>
      </w:r>
      <w:r w:rsidR="00441175">
        <w:rPr>
          <w:rFonts w:ascii="Calibri" w:hAnsi="Calibri" w:cs="Times New Roman"/>
          <w:lang w:val="en-US"/>
        </w:rPr>
        <w:t xml:space="preserve">, </w:t>
      </w:r>
      <w:r w:rsidR="00182D24" w:rsidRPr="001215B9">
        <w:rPr>
          <w:rFonts w:ascii="Calibri" w:hAnsi="Calibri" w:cs="Times New Roman"/>
          <w:lang w:val="en-US"/>
        </w:rPr>
        <w:t>particul</w:t>
      </w:r>
      <w:r w:rsidR="00182D24">
        <w:rPr>
          <w:rFonts w:ascii="Calibri" w:hAnsi="Calibri" w:cs="Times New Roman"/>
          <w:lang w:val="en-US"/>
        </w:rPr>
        <w:t>a</w:t>
      </w:r>
      <w:r w:rsidR="00182D24" w:rsidRPr="001215B9">
        <w:rPr>
          <w:rFonts w:ascii="Calibri" w:hAnsi="Calibri" w:cs="Times New Roman"/>
          <w:lang w:val="en-US"/>
        </w:rPr>
        <w:t>rl</w:t>
      </w:r>
      <w:r w:rsidR="00182D24">
        <w:rPr>
          <w:rFonts w:ascii="Calibri" w:hAnsi="Calibri" w:cs="Times New Roman"/>
          <w:lang w:val="en-US"/>
        </w:rPr>
        <w:t>y</w:t>
      </w:r>
      <w:r w:rsidR="00E078B1">
        <w:rPr>
          <w:rFonts w:ascii="Calibri" w:hAnsi="Calibri" w:cs="Times New Roman"/>
          <w:lang w:val="en-US"/>
        </w:rPr>
        <w:t xml:space="preserve"> </w:t>
      </w:r>
      <w:r w:rsidRPr="001215B9">
        <w:rPr>
          <w:rFonts w:ascii="Calibri" w:hAnsi="Calibri" w:cs="Times New Roman"/>
          <w:lang w:val="en-US"/>
        </w:rPr>
        <w:t>lower</w:t>
      </w:r>
      <w:r w:rsidR="00182D24">
        <w:rPr>
          <w:rFonts w:ascii="Calibri" w:hAnsi="Calibri" w:cs="Times New Roman"/>
          <w:lang w:val="en-US"/>
        </w:rPr>
        <w:t>-</w:t>
      </w:r>
      <w:r w:rsidRPr="001215B9">
        <w:rPr>
          <w:rFonts w:ascii="Calibri" w:hAnsi="Calibri" w:cs="Times New Roman"/>
          <w:lang w:val="en-US"/>
        </w:rPr>
        <w:t xml:space="preserve">skilled </w:t>
      </w:r>
      <w:r w:rsidR="00197F02" w:rsidRPr="001215B9">
        <w:rPr>
          <w:rFonts w:ascii="Calibri" w:hAnsi="Calibri" w:cs="Times New Roman"/>
          <w:lang w:val="en-US"/>
        </w:rPr>
        <w:t>workers</w:t>
      </w:r>
      <w:r w:rsidR="00030791" w:rsidRPr="001215B9">
        <w:rPr>
          <w:rFonts w:ascii="Calibri" w:hAnsi="Calibri" w:cs="Times New Roman"/>
          <w:lang w:val="en-US"/>
        </w:rPr>
        <w:t>.</w:t>
      </w:r>
    </w:p>
    <w:p w14:paraId="3DAE4DE7" w14:textId="03B3053C" w:rsidR="0014285E" w:rsidRPr="001215B9" w:rsidRDefault="00BD3C6C" w:rsidP="001215B9">
      <w:pPr>
        <w:spacing w:line="360" w:lineRule="auto"/>
        <w:jc w:val="both"/>
        <w:rPr>
          <w:rFonts w:ascii="Calibri" w:hAnsi="Calibri" w:cs="Times New Roman"/>
          <w:lang w:val="en-US"/>
        </w:rPr>
      </w:pPr>
      <w:r>
        <w:rPr>
          <w:rFonts w:ascii="Calibri" w:hAnsi="Calibri" w:cs="Times New Roman"/>
          <w:lang w:val="en-US"/>
        </w:rPr>
        <w:t xml:space="preserve">A second region in which labour mobility has been addressed exclusively from the trade angle is </w:t>
      </w:r>
      <w:r w:rsidR="00797C08">
        <w:rPr>
          <w:rFonts w:ascii="Calibri" w:hAnsi="Calibri" w:cs="Times New Roman"/>
          <w:lang w:val="en-US"/>
        </w:rPr>
        <w:t>South</w:t>
      </w:r>
      <w:r w:rsidR="00CB7FCC">
        <w:rPr>
          <w:rFonts w:ascii="Calibri" w:hAnsi="Calibri" w:cs="Times New Roman"/>
          <w:lang w:val="en-US"/>
        </w:rPr>
        <w:t xml:space="preserve">east Asia. </w:t>
      </w:r>
      <w:r w:rsidR="00C93917" w:rsidRPr="001215B9">
        <w:rPr>
          <w:rFonts w:ascii="Calibri" w:hAnsi="Calibri" w:cs="Times New Roman"/>
          <w:lang w:val="en-US"/>
        </w:rPr>
        <w:t xml:space="preserve">Mobility of service providers </w:t>
      </w:r>
      <w:r w:rsidR="00F754D2" w:rsidRPr="001215B9">
        <w:rPr>
          <w:rFonts w:ascii="Calibri" w:hAnsi="Calibri" w:cs="Times New Roman"/>
          <w:lang w:val="en-US"/>
        </w:rPr>
        <w:t>was not part of the original Declaration</w:t>
      </w:r>
      <w:r w:rsidR="00CB7FCC">
        <w:rPr>
          <w:rFonts w:ascii="Calibri" w:hAnsi="Calibri" w:cs="Times New Roman"/>
          <w:lang w:val="en-US"/>
        </w:rPr>
        <w:t xml:space="preserve"> establishing ASEAN</w:t>
      </w:r>
      <w:r w:rsidR="00F754D2" w:rsidRPr="001215B9">
        <w:rPr>
          <w:rFonts w:ascii="Calibri" w:hAnsi="Calibri" w:cs="Times New Roman"/>
          <w:lang w:val="en-US"/>
        </w:rPr>
        <w:t xml:space="preserve">, however </w:t>
      </w:r>
      <w:r w:rsidR="00827CFC" w:rsidRPr="001215B9">
        <w:rPr>
          <w:rFonts w:ascii="Calibri" w:hAnsi="Calibri" w:cs="Times New Roman"/>
          <w:lang w:val="en-US"/>
        </w:rPr>
        <w:t xml:space="preserve">it </w:t>
      </w:r>
      <w:r w:rsidR="00C93917" w:rsidRPr="001215B9">
        <w:rPr>
          <w:rFonts w:ascii="Calibri" w:hAnsi="Calibri" w:cs="Times New Roman"/>
          <w:lang w:val="en-US"/>
        </w:rPr>
        <w:t xml:space="preserve">has </w:t>
      </w:r>
      <w:r w:rsidR="00D13C00" w:rsidRPr="001215B9">
        <w:rPr>
          <w:rFonts w:ascii="Calibri" w:hAnsi="Calibri" w:cs="Times New Roman"/>
          <w:lang w:val="en-US"/>
        </w:rPr>
        <w:t>become an important topic</w:t>
      </w:r>
      <w:r w:rsidR="00C93917" w:rsidRPr="001215B9">
        <w:rPr>
          <w:rFonts w:ascii="Calibri" w:hAnsi="Calibri" w:cs="Times New Roman"/>
          <w:lang w:val="en-US"/>
        </w:rPr>
        <w:t xml:space="preserve"> with the adoption of the 1995 ASEAN Framework Agreement on Services (AFAS), developments evolving relatively at the same time </w:t>
      </w:r>
      <w:r w:rsidR="002A5E77" w:rsidRPr="001215B9">
        <w:rPr>
          <w:rFonts w:ascii="Calibri" w:hAnsi="Calibri" w:cs="Times New Roman"/>
          <w:lang w:val="en-US"/>
        </w:rPr>
        <w:t>with</w:t>
      </w:r>
      <w:r w:rsidR="00C93917" w:rsidRPr="001215B9">
        <w:rPr>
          <w:rFonts w:ascii="Calibri" w:hAnsi="Calibri" w:cs="Times New Roman"/>
          <w:lang w:val="en-US"/>
        </w:rPr>
        <w:t xml:space="preserve"> the WTO</w:t>
      </w:r>
      <w:r w:rsidR="008F7A14">
        <w:rPr>
          <w:rFonts w:ascii="Calibri" w:hAnsi="Calibri" w:cs="Times New Roman"/>
          <w:lang w:val="en-US"/>
        </w:rPr>
        <w:t>/</w:t>
      </w:r>
      <w:r w:rsidR="00C93917" w:rsidRPr="001215B9">
        <w:rPr>
          <w:rFonts w:ascii="Calibri" w:hAnsi="Calibri" w:cs="Times New Roman"/>
          <w:lang w:val="en-US"/>
        </w:rPr>
        <w:t xml:space="preserve">GATS mobility agenda. </w:t>
      </w:r>
      <w:r w:rsidR="00D247AD" w:rsidRPr="001215B9">
        <w:rPr>
          <w:rFonts w:ascii="Calibri" w:hAnsi="Calibri" w:cs="Times New Roman"/>
          <w:lang w:val="en-US"/>
        </w:rPr>
        <w:t xml:space="preserve">Members agreed that “there shall be a freer flow of capital, skilled labor and professionals among Member States” (AFAS art.4). </w:t>
      </w:r>
      <w:r w:rsidR="00C54A2B">
        <w:rPr>
          <w:rFonts w:ascii="Calibri" w:hAnsi="Calibri" w:cs="Times New Roman"/>
          <w:lang w:val="en-US"/>
        </w:rPr>
        <w:t>I</w:t>
      </w:r>
      <w:r w:rsidR="0072556B" w:rsidRPr="001215B9">
        <w:rPr>
          <w:rFonts w:ascii="Calibri" w:hAnsi="Calibri" w:cs="Times New Roman"/>
          <w:lang w:val="en-US"/>
        </w:rPr>
        <w:t>n 2012 Members have signed the Agreement on Movement of Natural Persons</w:t>
      </w:r>
      <w:r w:rsidR="00E262DD" w:rsidRPr="001215B9">
        <w:rPr>
          <w:rFonts w:ascii="Calibri" w:hAnsi="Calibri" w:cs="Times New Roman"/>
          <w:lang w:val="en-US"/>
        </w:rPr>
        <w:t xml:space="preserve"> (MNP)</w:t>
      </w:r>
      <w:r w:rsidR="0099407C" w:rsidRPr="001215B9">
        <w:rPr>
          <w:rFonts w:ascii="Calibri" w:hAnsi="Calibri" w:cs="Times New Roman"/>
          <w:lang w:val="en-US"/>
        </w:rPr>
        <w:t xml:space="preserve"> that basically incorporates all mode 4 commitments initially included in </w:t>
      </w:r>
      <w:r w:rsidR="00C54A2B">
        <w:rPr>
          <w:rFonts w:ascii="Calibri" w:hAnsi="Calibri" w:cs="Times New Roman"/>
          <w:lang w:val="en-US"/>
        </w:rPr>
        <w:t xml:space="preserve">the </w:t>
      </w:r>
      <w:r w:rsidR="0099407C" w:rsidRPr="001215B9">
        <w:rPr>
          <w:rFonts w:ascii="Calibri" w:hAnsi="Calibri" w:cs="Times New Roman"/>
          <w:lang w:val="en-US"/>
        </w:rPr>
        <w:t>AFAS.</w:t>
      </w:r>
    </w:p>
    <w:p w14:paraId="62EF5B2D" w14:textId="68A61433" w:rsidR="00200F7E" w:rsidRPr="001215B9" w:rsidRDefault="000D5A4A" w:rsidP="001215B9">
      <w:pPr>
        <w:spacing w:line="360" w:lineRule="auto"/>
        <w:jc w:val="both"/>
        <w:rPr>
          <w:rFonts w:ascii="Calibri" w:hAnsi="Calibri" w:cs="Times New Roman"/>
          <w:lang w:val="en-US"/>
        </w:rPr>
      </w:pPr>
      <w:r w:rsidRPr="001215B9">
        <w:rPr>
          <w:rFonts w:ascii="Calibri" w:hAnsi="Calibri" w:cs="Times New Roman"/>
          <w:lang w:val="en-US"/>
        </w:rPr>
        <w:t>T</w:t>
      </w:r>
      <w:r w:rsidR="00945752" w:rsidRPr="001215B9">
        <w:rPr>
          <w:rFonts w:ascii="Calibri" w:hAnsi="Calibri" w:cs="Times New Roman"/>
          <w:lang w:val="en-US"/>
        </w:rPr>
        <w:t>he commitments on mobility inscribed in AFAS</w:t>
      </w:r>
      <w:r w:rsidR="00E262DD" w:rsidRPr="001215B9">
        <w:rPr>
          <w:rFonts w:ascii="Calibri" w:hAnsi="Calibri" w:cs="Times New Roman"/>
          <w:lang w:val="en-US"/>
        </w:rPr>
        <w:t>/MNP</w:t>
      </w:r>
      <w:r w:rsidR="00DB4EA3" w:rsidRPr="001215B9">
        <w:rPr>
          <w:rStyle w:val="Funotenzeichen"/>
          <w:rFonts w:ascii="Calibri" w:hAnsi="Calibri" w:cs="Times New Roman"/>
          <w:lang w:val="en-US"/>
        </w:rPr>
        <w:footnoteReference w:id="25"/>
      </w:r>
      <w:r w:rsidR="00945752" w:rsidRPr="001215B9">
        <w:rPr>
          <w:rFonts w:ascii="Calibri" w:hAnsi="Calibri" w:cs="Times New Roman"/>
          <w:lang w:val="en-US"/>
        </w:rPr>
        <w:t xml:space="preserve"> remain</w:t>
      </w:r>
      <w:r w:rsidRPr="001215B9">
        <w:rPr>
          <w:rFonts w:ascii="Calibri" w:hAnsi="Calibri" w:cs="Times New Roman"/>
          <w:lang w:val="en-US"/>
        </w:rPr>
        <w:t xml:space="preserve"> nevertheless</w:t>
      </w:r>
      <w:r w:rsidR="00945752" w:rsidRPr="001215B9">
        <w:rPr>
          <w:rFonts w:ascii="Calibri" w:hAnsi="Calibri" w:cs="Times New Roman"/>
          <w:lang w:val="en-US"/>
        </w:rPr>
        <w:t xml:space="preserve"> limited, similar to the ones agreed by the ASEAN Members in GATS. </w:t>
      </w:r>
      <w:r w:rsidR="009A58D1">
        <w:rPr>
          <w:rFonts w:ascii="Calibri" w:hAnsi="Calibri" w:cs="Times New Roman"/>
          <w:lang w:val="en-US"/>
        </w:rPr>
        <w:t>M</w:t>
      </w:r>
      <w:r w:rsidR="00945752" w:rsidRPr="001215B9">
        <w:rPr>
          <w:rFonts w:ascii="Calibri" w:hAnsi="Calibri" w:cs="Times New Roman"/>
          <w:lang w:val="en-US"/>
        </w:rPr>
        <w:t>obility is linked to</w:t>
      </w:r>
      <w:r w:rsidR="007B7010" w:rsidRPr="001215B9">
        <w:rPr>
          <w:rFonts w:ascii="Calibri" w:hAnsi="Calibri" w:cs="Times New Roman"/>
          <w:lang w:val="en-US"/>
        </w:rPr>
        <w:t xml:space="preserve"> investment and business flows</w:t>
      </w:r>
      <w:r w:rsidR="00945752" w:rsidRPr="001215B9">
        <w:rPr>
          <w:rFonts w:ascii="Calibri" w:hAnsi="Calibri" w:cs="Times New Roman"/>
          <w:lang w:val="en-US"/>
        </w:rPr>
        <w:t>, facilitating</w:t>
      </w:r>
      <w:r w:rsidR="009A58D1">
        <w:rPr>
          <w:rFonts w:ascii="Calibri" w:hAnsi="Calibri" w:cs="Times New Roman"/>
          <w:lang w:val="en-US"/>
        </w:rPr>
        <w:t xml:space="preserve"> mostly</w:t>
      </w:r>
      <w:r w:rsidR="00945752" w:rsidRPr="001215B9">
        <w:rPr>
          <w:rFonts w:ascii="Calibri" w:hAnsi="Calibri" w:cs="Times New Roman"/>
          <w:lang w:val="en-US"/>
        </w:rPr>
        <w:t xml:space="preserve"> the movement of professionals, managers, and qualified staff under the </w:t>
      </w:r>
      <w:r w:rsidR="009A58D1">
        <w:rPr>
          <w:rFonts w:ascii="Calibri" w:hAnsi="Calibri" w:cs="Times New Roman"/>
          <w:lang w:val="en-US"/>
        </w:rPr>
        <w:t>ICT</w:t>
      </w:r>
      <w:r w:rsidR="00945752" w:rsidRPr="001215B9">
        <w:rPr>
          <w:rFonts w:ascii="Calibri" w:hAnsi="Calibri" w:cs="Times New Roman"/>
          <w:lang w:val="en-US"/>
        </w:rPr>
        <w:t xml:space="preserve"> category. </w:t>
      </w:r>
      <w:r w:rsidR="009A58D1">
        <w:rPr>
          <w:rFonts w:ascii="Calibri" w:hAnsi="Calibri" w:cs="Times New Roman"/>
          <w:lang w:val="en-US"/>
        </w:rPr>
        <w:t>H</w:t>
      </w:r>
      <w:r w:rsidR="00500184" w:rsidRPr="001215B9">
        <w:rPr>
          <w:rFonts w:ascii="Calibri" w:hAnsi="Calibri" w:cs="Times New Roman"/>
          <w:lang w:val="en-US"/>
        </w:rPr>
        <w:t xml:space="preserve">orizontal commitments have been made </w:t>
      </w:r>
      <w:r w:rsidR="009A58D1">
        <w:rPr>
          <w:rFonts w:ascii="Calibri" w:hAnsi="Calibri" w:cs="Times New Roman"/>
          <w:lang w:val="en-US"/>
        </w:rPr>
        <w:t>for</w:t>
      </w:r>
      <w:r w:rsidR="00500184" w:rsidRPr="001215B9">
        <w:rPr>
          <w:rFonts w:ascii="Calibri" w:hAnsi="Calibri" w:cs="Times New Roman"/>
          <w:lang w:val="en-US"/>
        </w:rPr>
        <w:t xml:space="preserve"> ICTs (duration of s</w:t>
      </w:r>
      <w:r w:rsidR="0072556B" w:rsidRPr="001215B9">
        <w:rPr>
          <w:rFonts w:ascii="Calibri" w:hAnsi="Calibri" w:cs="Times New Roman"/>
          <w:lang w:val="en-US"/>
        </w:rPr>
        <w:t xml:space="preserve">tay </w:t>
      </w:r>
      <w:r w:rsidR="009A58D1">
        <w:rPr>
          <w:rFonts w:ascii="Calibri" w:hAnsi="Calibri" w:cs="Times New Roman"/>
          <w:lang w:val="en-US"/>
        </w:rPr>
        <w:t xml:space="preserve">varying between 2 up to </w:t>
      </w:r>
      <w:r w:rsidR="0072556B" w:rsidRPr="001215B9">
        <w:rPr>
          <w:rFonts w:ascii="Calibri" w:hAnsi="Calibri" w:cs="Times New Roman"/>
          <w:lang w:val="en-US"/>
        </w:rPr>
        <w:t xml:space="preserve">8 years) and </w:t>
      </w:r>
      <w:r w:rsidR="00500184" w:rsidRPr="001215B9">
        <w:rPr>
          <w:rFonts w:ascii="Calibri" w:hAnsi="Calibri" w:cs="Times New Roman"/>
          <w:lang w:val="en-US"/>
        </w:rPr>
        <w:t>BVs (allowed for 30 up to 90 days</w:t>
      </w:r>
      <w:r w:rsidR="009A58D1">
        <w:rPr>
          <w:rFonts w:ascii="Calibri" w:hAnsi="Calibri" w:cs="Times New Roman"/>
          <w:lang w:val="en-US"/>
        </w:rPr>
        <w:t>, exception Indonesia that permits 120 days</w:t>
      </w:r>
      <w:r w:rsidR="0072556B" w:rsidRPr="001215B9">
        <w:rPr>
          <w:rFonts w:ascii="Calibri" w:hAnsi="Calibri" w:cs="Times New Roman"/>
          <w:lang w:val="en-US"/>
        </w:rPr>
        <w:t>).</w:t>
      </w:r>
      <w:r w:rsidR="00E078B1">
        <w:rPr>
          <w:rFonts w:ascii="Calibri" w:hAnsi="Calibri" w:cs="Times New Roman"/>
          <w:lang w:val="en-US"/>
        </w:rPr>
        <w:t xml:space="preserve"> </w:t>
      </w:r>
      <w:r w:rsidR="0032799B" w:rsidRPr="001215B9">
        <w:rPr>
          <w:rFonts w:ascii="Calibri" w:hAnsi="Calibri" w:cs="Times New Roman"/>
          <w:lang w:val="en-US"/>
        </w:rPr>
        <w:t xml:space="preserve">Initially, only </w:t>
      </w:r>
      <w:r w:rsidR="0072556B" w:rsidRPr="001215B9">
        <w:rPr>
          <w:rFonts w:ascii="Calibri" w:hAnsi="Calibri" w:cs="Times New Roman"/>
          <w:lang w:val="en-US"/>
        </w:rPr>
        <w:t xml:space="preserve">Vietnam </w:t>
      </w:r>
      <w:r w:rsidR="00FE624D">
        <w:rPr>
          <w:rFonts w:ascii="Calibri" w:hAnsi="Calibri" w:cs="Times New Roman"/>
          <w:lang w:val="en-US"/>
        </w:rPr>
        <w:t>took commitments on</w:t>
      </w:r>
      <w:r w:rsidR="0032799B" w:rsidRPr="001215B9">
        <w:rPr>
          <w:rFonts w:ascii="Calibri" w:hAnsi="Calibri" w:cs="Times New Roman"/>
          <w:lang w:val="en-US"/>
        </w:rPr>
        <w:t xml:space="preserve"> CSSs (</w:t>
      </w:r>
      <w:r w:rsidR="00500184" w:rsidRPr="001215B9">
        <w:rPr>
          <w:rFonts w:ascii="Calibri" w:hAnsi="Calibri" w:cs="Times New Roman"/>
          <w:lang w:val="en-US"/>
        </w:rPr>
        <w:t>limited stay of 90 days and subject to education and experience requirements</w:t>
      </w:r>
      <w:r w:rsidR="0032799B" w:rsidRPr="001215B9">
        <w:rPr>
          <w:rFonts w:ascii="Calibri" w:hAnsi="Calibri" w:cs="Times New Roman"/>
          <w:lang w:val="en-US"/>
        </w:rPr>
        <w:t>) and recently Cambodia has introduced this category within the MNP Agreement</w:t>
      </w:r>
      <w:r w:rsidR="00500184" w:rsidRPr="001215B9">
        <w:rPr>
          <w:rFonts w:ascii="Calibri" w:hAnsi="Calibri" w:cs="Times New Roman"/>
          <w:lang w:val="en-US"/>
        </w:rPr>
        <w:t xml:space="preserve">. In most of the cases, </w:t>
      </w:r>
      <w:r w:rsidR="00FA7127" w:rsidRPr="001215B9">
        <w:rPr>
          <w:rFonts w:ascii="Calibri" w:hAnsi="Calibri" w:cs="Times New Roman"/>
          <w:lang w:val="en-US"/>
        </w:rPr>
        <w:t xml:space="preserve">domestic immigration procedures, </w:t>
      </w:r>
      <w:r w:rsidR="00500184" w:rsidRPr="001215B9">
        <w:rPr>
          <w:rFonts w:ascii="Calibri" w:hAnsi="Calibri" w:cs="Times New Roman"/>
          <w:lang w:val="en-US"/>
        </w:rPr>
        <w:t>numerical quotas, ENTs</w:t>
      </w:r>
      <w:r w:rsidR="00455BF2" w:rsidRPr="001215B9">
        <w:rPr>
          <w:rFonts w:ascii="Calibri" w:hAnsi="Calibri" w:cs="Times New Roman"/>
          <w:lang w:val="en-US"/>
        </w:rPr>
        <w:t>/</w:t>
      </w:r>
      <w:r w:rsidR="00500184" w:rsidRPr="001215B9">
        <w:rPr>
          <w:rFonts w:ascii="Calibri" w:hAnsi="Calibri" w:cs="Times New Roman"/>
          <w:lang w:val="en-US"/>
        </w:rPr>
        <w:t>labour market tests apply</w:t>
      </w:r>
      <w:r w:rsidR="00FA7127" w:rsidRPr="001215B9">
        <w:rPr>
          <w:rFonts w:ascii="Calibri" w:hAnsi="Calibri" w:cs="Times New Roman"/>
          <w:lang w:val="en-US"/>
        </w:rPr>
        <w:t>,</w:t>
      </w:r>
      <w:r w:rsidR="00500184" w:rsidRPr="001215B9">
        <w:rPr>
          <w:rFonts w:ascii="Calibri" w:hAnsi="Calibri" w:cs="Times New Roman"/>
          <w:lang w:val="en-US"/>
        </w:rPr>
        <w:t xml:space="preserve"> together with pre-employment requirements (</w:t>
      </w:r>
      <w:r w:rsidR="00595E1E" w:rsidRPr="001215B9">
        <w:rPr>
          <w:rFonts w:ascii="Calibri" w:hAnsi="Calibri" w:cs="Times New Roman"/>
          <w:lang w:val="en-US"/>
        </w:rPr>
        <w:t xml:space="preserve">health </w:t>
      </w:r>
      <w:r w:rsidR="000E6786">
        <w:rPr>
          <w:rFonts w:ascii="Calibri" w:hAnsi="Calibri" w:cs="Times New Roman"/>
          <w:lang w:val="en-US"/>
        </w:rPr>
        <w:t xml:space="preserve">and security </w:t>
      </w:r>
      <w:r w:rsidR="00595E1E" w:rsidRPr="001215B9">
        <w:rPr>
          <w:rFonts w:ascii="Calibri" w:hAnsi="Calibri" w:cs="Times New Roman"/>
          <w:lang w:val="en-US"/>
        </w:rPr>
        <w:t>clearances,</w:t>
      </w:r>
      <w:r w:rsidR="00E078B1">
        <w:rPr>
          <w:rFonts w:ascii="Calibri" w:hAnsi="Calibri" w:cs="Times New Roman"/>
          <w:lang w:val="en-US"/>
        </w:rPr>
        <w:t xml:space="preserve"> </w:t>
      </w:r>
      <w:r w:rsidR="00595E1E" w:rsidRPr="001215B9">
        <w:rPr>
          <w:rFonts w:ascii="Calibri" w:hAnsi="Calibri" w:cs="Times New Roman"/>
          <w:lang w:val="en-US"/>
        </w:rPr>
        <w:t>personal and professional references</w:t>
      </w:r>
      <w:r w:rsidR="00455BF2" w:rsidRPr="001215B9">
        <w:rPr>
          <w:rFonts w:ascii="Calibri" w:hAnsi="Calibri" w:cs="Times New Roman"/>
          <w:lang w:val="en-US"/>
        </w:rPr>
        <w:t>) and technological transfer</w:t>
      </w:r>
      <w:r w:rsidR="00A73FFF" w:rsidRPr="001215B9">
        <w:rPr>
          <w:rFonts w:ascii="Calibri" w:hAnsi="Calibri" w:cs="Times New Roman"/>
          <w:lang w:val="en-US"/>
        </w:rPr>
        <w:t xml:space="preserve"> conditions</w:t>
      </w:r>
      <w:r w:rsidR="00595E1E" w:rsidRPr="001215B9">
        <w:rPr>
          <w:rFonts w:ascii="Calibri" w:hAnsi="Calibri" w:cs="Times New Roman"/>
          <w:lang w:val="en-US"/>
        </w:rPr>
        <w:t>.</w:t>
      </w:r>
      <w:r w:rsidR="00E078B1">
        <w:rPr>
          <w:rFonts w:ascii="Calibri" w:hAnsi="Calibri" w:cs="Times New Roman"/>
          <w:lang w:val="en-US"/>
        </w:rPr>
        <w:t xml:space="preserve"> </w:t>
      </w:r>
      <w:r w:rsidR="00200F7E" w:rsidRPr="001215B9">
        <w:rPr>
          <w:rFonts w:ascii="Calibri" w:hAnsi="Calibri" w:cs="Times New Roman"/>
          <w:lang w:val="en-US"/>
        </w:rPr>
        <w:t>Furthermore, the Indonesian government is requesting a so-called ‘compensation fee’ of USD100/month per expatriate employee to offset the costs of training Indonesians (</w:t>
      </w:r>
      <w:r w:rsidR="00200F7E" w:rsidRPr="00C868EA">
        <w:rPr>
          <w:rFonts w:ascii="Calibri" w:hAnsi="Calibri" w:cs="Times New Roman"/>
          <w:lang w:val="en-US"/>
        </w:rPr>
        <w:t xml:space="preserve">Interview </w:t>
      </w:r>
      <w:r w:rsidR="00810AAC">
        <w:rPr>
          <w:rFonts w:ascii="Calibri" w:hAnsi="Calibri" w:cs="Times New Roman"/>
          <w:lang w:val="en-US"/>
        </w:rPr>
        <w:t>11</w:t>
      </w:r>
      <w:r w:rsidR="00200F7E" w:rsidRPr="001215B9">
        <w:rPr>
          <w:rFonts w:ascii="Calibri" w:hAnsi="Calibri" w:cs="Times New Roman"/>
          <w:lang w:val="en-US"/>
        </w:rPr>
        <w:t xml:space="preserve">). </w:t>
      </w:r>
    </w:p>
    <w:p w14:paraId="1389B966" w14:textId="5168CB00" w:rsidR="00B7138C" w:rsidRPr="001215B9" w:rsidRDefault="00967753" w:rsidP="001215B9">
      <w:pPr>
        <w:spacing w:line="360" w:lineRule="auto"/>
        <w:jc w:val="both"/>
        <w:rPr>
          <w:rFonts w:ascii="Calibri" w:hAnsi="Calibri" w:cs="Times New Roman"/>
          <w:lang w:val="en-US"/>
        </w:rPr>
      </w:pPr>
      <w:r>
        <w:rPr>
          <w:rFonts w:ascii="Calibri" w:hAnsi="Calibri" w:cs="Times New Roman"/>
          <w:lang w:val="en-US"/>
        </w:rPr>
        <w:t>I</w:t>
      </w:r>
      <w:r w:rsidR="001B77B7">
        <w:rPr>
          <w:rFonts w:ascii="Calibri" w:hAnsi="Calibri" w:cs="Times New Roman"/>
          <w:lang w:val="en-US"/>
        </w:rPr>
        <w:t>n</w:t>
      </w:r>
      <w:r w:rsidR="00990278" w:rsidRPr="001215B9">
        <w:rPr>
          <w:rFonts w:ascii="Calibri" w:hAnsi="Calibri" w:cs="Times New Roman"/>
          <w:lang w:val="en-US"/>
        </w:rPr>
        <w:t xml:space="preserve"> 2006 ASEAN citizens</w:t>
      </w:r>
      <w:r>
        <w:rPr>
          <w:rFonts w:ascii="Calibri" w:hAnsi="Calibri" w:cs="Times New Roman"/>
          <w:lang w:val="en-US"/>
        </w:rPr>
        <w:t xml:space="preserve"> received</w:t>
      </w:r>
      <w:r w:rsidR="001B77B7">
        <w:rPr>
          <w:rFonts w:ascii="Calibri" w:hAnsi="Calibri" w:cs="Times New Roman"/>
          <w:lang w:val="en-US"/>
        </w:rPr>
        <w:t xml:space="preserve"> the right to</w:t>
      </w:r>
      <w:r w:rsidR="00990278" w:rsidRPr="001215B9">
        <w:rPr>
          <w:rFonts w:ascii="Calibri" w:hAnsi="Calibri" w:cs="Times New Roman"/>
          <w:lang w:val="en-US"/>
        </w:rPr>
        <w:t xml:space="preserve"> enter and travel within the region</w:t>
      </w:r>
      <w:r w:rsidR="00E078B1">
        <w:rPr>
          <w:rFonts w:ascii="Calibri" w:hAnsi="Calibri" w:cs="Times New Roman"/>
          <w:lang w:val="en-US"/>
        </w:rPr>
        <w:t xml:space="preserve"> </w:t>
      </w:r>
      <w:r w:rsidRPr="001215B9">
        <w:rPr>
          <w:rFonts w:ascii="Calibri" w:hAnsi="Calibri" w:cs="Times New Roman"/>
          <w:lang w:val="en-US"/>
        </w:rPr>
        <w:t>for a two-week visa-free</w:t>
      </w:r>
      <w:r w:rsidR="00B27AD7" w:rsidRPr="001215B9">
        <w:rPr>
          <w:rFonts w:ascii="Calibri" w:hAnsi="Calibri" w:cs="Times New Roman"/>
          <w:lang w:val="en-US"/>
        </w:rPr>
        <w:t xml:space="preserve">. Intra-regional mobility is also </w:t>
      </w:r>
      <w:r w:rsidR="003866F2" w:rsidRPr="001215B9">
        <w:rPr>
          <w:rFonts w:ascii="Calibri" w:hAnsi="Calibri" w:cs="Times New Roman"/>
          <w:lang w:val="en-US"/>
        </w:rPr>
        <w:t xml:space="preserve">promoted </w:t>
      </w:r>
      <w:r w:rsidR="00B27AD7" w:rsidRPr="001215B9">
        <w:rPr>
          <w:rFonts w:ascii="Calibri" w:hAnsi="Calibri" w:cs="Times New Roman"/>
          <w:lang w:val="en-US"/>
        </w:rPr>
        <w:t>via</w:t>
      </w:r>
      <w:r w:rsidR="00990278" w:rsidRPr="001215B9">
        <w:rPr>
          <w:rFonts w:ascii="Calibri" w:hAnsi="Calibri" w:cs="Times New Roman"/>
          <w:lang w:val="en-US"/>
        </w:rPr>
        <w:t xml:space="preserve"> Mutual Recognition </w:t>
      </w:r>
      <w:r w:rsidRPr="001215B9">
        <w:rPr>
          <w:rFonts w:ascii="Calibri" w:hAnsi="Calibri" w:cs="Times New Roman"/>
          <w:lang w:val="en-US"/>
        </w:rPr>
        <w:t>A</w:t>
      </w:r>
      <w:r>
        <w:rPr>
          <w:rFonts w:ascii="Calibri" w:hAnsi="Calibri" w:cs="Times New Roman"/>
          <w:lang w:val="en-US"/>
        </w:rPr>
        <w:t>rrangements</w:t>
      </w:r>
      <w:r w:rsidR="00E078B1">
        <w:rPr>
          <w:rFonts w:ascii="Calibri" w:hAnsi="Calibri" w:cs="Times New Roman"/>
          <w:lang w:val="en-US"/>
        </w:rPr>
        <w:t xml:space="preserve"> </w:t>
      </w:r>
      <w:r w:rsidR="00990278" w:rsidRPr="001215B9">
        <w:rPr>
          <w:rFonts w:ascii="Calibri" w:hAnsi="Calibri" w:cs="Times New Roman"/>
          <w:lang w:val="en-US"/>
        </w:rPr>
        <w:t xml:space="preserve">for professional services, </w:t>
      </w:r>
      <w:r w:rsidR="003866F2" w:rsidRPr="001215B9">
        <w:rPr>
          <w:rFonts w:ascii="Calibri" w:hAnsi="Calibri" w:cs="Times New Roman"/>
          <w:lang w:val="en-US"/>
        </w:rPr>
        <w:t xml:space="preserve">currently covering </w:t>
      </w:r>
      <w:r w:rsidR="00990278" w:rsidRPr="001215B9">
        <w:rPr>
          <w:rFonts w:ascii="Calibri" w:hAnsi="Calibri" w:cs="Times New Roman"/>
          <w:lang w:val="en-US"/>
        </w:rPr>
        <w:t>engineering, accoun</w:t>
      </w:r>
      <w:r w:rsidR="003866F2" w:rsidRPr="001215B9">
        <w:rPr>
          <w:rFonts w:ascii="Calibri" w:hAnsi="Calibri" w:cs="Times New Roman"/>
          <w:lang w:val="en-US"/>
        </w:rPr>
        <w:t xml:space="preserve">tancy, architecture, surveying, </w:t>
      </w:r>
      <w:r w:rsidR="00990278" w:rsidRPr="001215B9">
        <w:rPr>
          <w:rFonts w:ascii="Calibri" w:hAnsi="Calibri" w:cs="Times New Roman"/>
          <w:lang w:val="en-US"/>
        </w:rPr>
        <w:t>nursing</w:t>
      </w:r>
      <w:r w:rsidR="003866F2" w:rsidRPr="001215B9">
        <w:rPr>
          <w:rFonts w:ascii="Calibri" w:hAnsi="Calibri" w:cs="Times New Roman"/>
          <w:lang w:val="en-US"/>
        </w:rPr>
        <w:t>, dental and medical practitioners, and tourism</w:t>
      </w:r>
      <w:r w:rsidR="00B27AD7" w:rsidRPr="001215B9">
        <w:rPr>
          <w:rFonts w:ascii="Calibri" w:hAnsi="Calibri" w:cs="Times New Roman"/>
          <w:lang w:val="en-US"/>
        </w:rPr>
        <w:t xml:space="preserve">. </w:t>
      </w:r>
      <w:r w:rsidR="00AF1F2D">
        <w:rPr>
          <w:rFonts w:ascii="Calibri" w:hAnsi="Calibri" w:cs="Times New Roman"/>
          <w:lang w:val="en-US"/>
        </w:rPr>
        <w:t>I</w:t>
      </w:r>
      <w:r w:rsidR="00AC6C8D" w:rsidRPr="001215B9">
        <w:rPr>
          <w:rFonts w:ascii="Calibri" w:hAnsi="Calibri" w:cs="Times New Roman"/>
          <w:lang w:val="en-US"/>
        </w:rPr>
        <w:t xml:space="preserve">mplementation </w:t>
      </w:r>
      <w:r w:rsidR="00AF1F2D">
        <w:rPr>
          <w:rFonts w:ascii="Calibri" w:hAnsi="Calibri" w:cs="Times New Roman"/>
          <w:lang w:val="en-US"/>
        </w:rPr>
        <w:t>is nevertheless pending for most professions</w:t>
      </w:r>
      <w:r w:rsidR="00AC6C8D" w:rsidRPr="001215B9">
        <w:rPr>
          <w:rFonts w:ascii="Calibri" w:hAnsi="Calibri" w:cs="Times New Roman"/>
          <w:lang w:val="en-US"/>
        </w:rPr>
        <w:t>, an MRA</w:t>
      </w:r>
      <w:r w:rsidR="00E078B1">
        <w:rPr>
          <w:rFonts w:ascii="Calibri" w:hAnsi="Calibri" w:cs="Times New Roman"/>
          <w:lang w:val="en-US"/>
        </w:rPr>
        <w:t xml:space="preserve"> </w:t>
      </w:r>
      <w:r w:rsidR="00AC6C8D" w:rsidRPr="001215B9">
        <w:rPr>
          <w:rFonts w:ascii="Calibri" w:hAnsi="Calibri" w:cs="Times New Roman"/>
          <w:lang w:val="en-US"/>
        </w:rPr>
        <w:t>not equat</w:t>
      </w:r>
      <w:r w:rsidR="00AF1F2D">
        <w:rPr>
          <w:rFonts w:ascii="Calibri" w:hAnsi="Calibri" w:cs="Times New Roman"/>
          <w:lang w:val="en-US"/>
        </w:rPr>
        <w:t>ing</w:t>
      </w:r>
      <w:r w:rsidR="00AC6C8D" w:rsidRPr="001215B9">
        <w:rPr>
          <w:rFonts w:ascii="Calibri" w:hAnsi="Calibri" w:cs="Times New Roman"/>
          <w:lang w:val="en-US"/>
        </w:rPr>
        <w:t xml:space="preserve"> automatic recognition among members (</w:t>
      </w:r>
      <w:r w:rsidR="00AC6C8D" w:rsidRPr="00E10495">
        <w:rPr>
          <w:rFonts w:ascii="Calibri" w:hAnsi="Calibri" w:cs="Times New Roman"/>
          <w:lang w:val="en-US"/>
        </w:rPr>
        <w:t>Interview</w:t>
      </w:r>
      <w:r w:rsidR="00C868EA">
        <w:rPr>
          <w:rFonts w:ascii="Calibri" w:hAnsi="Calibri" w:cs="Times New Roman"/>
          <w:lang w:val="en-US"/>
        </w:rPr>
        <w:t>s</w:t>
      </w:r>
      <w:r w:rsidR="00810AAC">
        <w:rPr>
          <w:rFonts w:ascii="Calibri" w:hAnsi="Calibri" w:cs="Times New Roman"/>
          <w:lang w:val="en-US"/>
        </w:rPr>
        <w:t xml:space="preserve"> 12, 13, 14</w:t>
      </w:r>
      <w:r w:rsidR="00AC6C8D" w:rsidRPr="001215B9">
        <w:rPr>
          <w:rFonts w:ascii="Calibri" w:hAnsi="Calibri" w:cs="Times New Roman"/>
          <w:lang w:val="en-US"/>
        </w:rPr>
        <w:t>).</w:t>
      </w:r>
      <w:r w:rsidR="00E078B1">
        <w:rPr>
          <w:rFonts w:ascii="Calibri" w:hAnsi="Calibri" w:cs="Times New Roman"/>
          <w:lang w:val="en-US"/>
        </w:rPr>
        <w:t xml:space="preserve"> </w:t>
      </w:r>
      <w:r w:rsidR="003A185B" w:rsidRPr="001215B9">
        <w:rPr>
          <w:rFonts w:ascii="Calibri" w:hAnsi="Calibri" w:cs="Times New Roman"/>
          <w:lang w:val="en-US"/>
        </w:rPr>
        <w:t xml:space="preserve">Moreover, there </w:t>
      </w:r>
      <w:r w:rsidR="00D27483" w:rsidRPr="001215B9">
        <w:rPr>
          <w:rFonts w:ascii="Calibri" w:hAnsi="Calibri" w:cs="Times New Roman"/>
          <w:lang w:val="en-US"/>
        </w:rPr>
        <w:t>seems to be</w:t>
      </w:r>
      <w:r w:rsidR="003A185B" w:rsidRPr="001215B9">
        <w:rPr>
          <w:rFonts w:ascii="Calibri" w:hAnsi="Calibri" w:cs="Times New Roman"/>
          <w:lang w:val="en-US"/>
        </w:rPr>
        <w:t xml:space="preserve"> a lack of political will and commitment to </w:t>
      </w:r>
      <w:r w:rsidR="00D27483" w:rsidRPr="001215B9">
        <w:rPr>
          <w:rFonts w:ascii="Calibri" w:hAnsi="Calibri" w:cs="Times New Roman"/>
          <w:lang w:val="en-US"/>
        </w:rPr>
        <w:t xml:space="preserve">further </w:t>
      </w:r>
      <w:r w:rsidR="003A185B" w:rsidRPr="001215B9">
        <w:rPr>
          <w:rFonts w:ascii="Calibri" w:hAnsi="Calibri" w:cs="Times New Roman"/>
          <w:lang w:val="en-US"/>
        </w:rPr>
        <w:t>open up service</w:t>
      </w:r>
      <w:r w:rsidR="00A15D4D" w:rsidRPr="001215B9">
        <w:rPr>
          <w:rFonts w:ascii="Calibri" w:hAnsi="Calibri" w:cs="Times New Roman"/>
          <w:lang w:val="en-US"/>
        </w:rPr>
        <w:t>s</w:t>
      </w:r>
      <w:r w:rsidR="003A185B" w:rsidRPr="001215B9">
        <w:rPr>
          <w:rFonts w:ascii="Calibri" w:hAnsi="Calibri" w:cs="Times New Roman"/>
          <w:lang w:val="en-US"/>
        </w:rPr>
        <w:t xml:space="preserve">, </w:t>
      </w:r>
      <w:r w:rsidR="00D27483" w:rsidRPr="001215B9">
        <w:rPr>
          <w:rFonts w:ascii="Calibri" w:hAnsi="Calibri" w:cs="Times New Roman"/>
          <w:lang w:val="en-US"/>
        </w:rPr>
        <w:t>despite bold statements made by ASEAN leaders on realizing the ASEAN Economic Community by 2015 that</w:t>
      </w:r>
      <w:r w:rsidR="00E078B1">
        <w:rPr>
          <w:rFonts w:ascii="Calibri" w:hAnsi="Calibri" w:cs="Times New Roman"/>
          <w:lang w:val="en-US"/>
        </w:rPr>
        <w:t xml:space="preserve"> </w:t>
      </w:r>
      <w:r w:rsidR="00AF1F2D">
        <w:rPr>
          <w:rFonts w:ascii="Calibri" w:hAnsi="Calibri" w:cs="Times New Roman"/>
          <w:lang w:val="en-US"/>
        </w:rPr>
        <w:t>envisages</w:t>
      </w:r>
      <w:r w:rsidR="00D27483" w:rsidRPr="001215B9">
        <w:rPr>
          <w:rFonts w:ascii="Calibri" w:hAnsi="Calibri" w:cs="Times New Roman"/>
          <w:lang w:val="en-US"/>
        </w:rPr>
        <w:t xml:space="preserve"> “free flow of skilled labour” (</w:t>
      </w:r>
      <w:r w:rsidR="00AF1F2D">
        <w:rPr>
          <w:rFonts w:ascii="Calibri" w:hAnsi="Calibri" w:cs="Times New Roman"/>
          <w:lang w:val="en-US"/>
        </w:rPr>
        <w:t xml:space="preserve">AEC </w:t>
      </w:r>
      <w:r w:rsidR="00D27483" w:rsidRPr="001215B9">
        <w:rPr>
          <w:rFonts w:ascii="Calibri" w:hAnsi="Calibri" w:cs="Times New Roman"/>
          <w:lang w:val="en-US"/>
        </w:rPr>
        <w:t>Blueprint 2008).</w:t>
      </w:r>
      <w:r w:rsidR="00E078B1">
        <w:rPr>
          <w:rFonts w:ascii="Calibri" w:hAnsi="Calibri" w:cs="Times New Roman"/>
          <w:lang w:val="en-US"/>
        </w:rPr>
        <w:t xml:space="preserve"> </w:t>
      </w:r>
      <w:r w:rsidR="00082D70">
        <w:rPr>
          <w:rFonts w:ascii="Calibri" w:hAnsi="Calibri" w:cs="Times New Roman"/>
          <w:lang w:val="en-US"/>
        </w:rPr>
        <w:t>D</w:t>
      </w:r>
      <w:r w:rsidR="0014012C" w:rsidRPr="001215B9">
        <w:rPr>
          <w:rFonts w:ascii="Calibri" w:hAnsi="Calibri" w:cs="Times New Roman"/>
          <w:lang w:val="en-US"/>
        </w:rPr>
        <w:t xml:space="preserve">omestic </w:t>
      </w:r>
      <w:r w:rsidR="003A185B" w:rsidRPr="001215B9">
        <w:rPr>
          <w:rFonts w:ascii="Calibri" w:hAnsi="Calibri" w:cs="Times New Roman"/>
          <w:lang w:val="en-US"/>
        </w:rPr>
        <w:t>legal restrictions</w:t>
      </w:r>
      <w:r w:rsidR="0014012C" w:rsidRPr="001215B9">
        <w:rPr>
          <w:rFonts w:ascii="Calibri" w:hAnsi="Calibri" w:cs="Times New Roman"/>
          <w:lang w:val="en-US"/>
        </w:rPr>
        <w:t xml:space="preserve"> and </w:t>
      </w:r>
      <w:r w:rsidR="00082D70">
        <w:rPr>
          <w:rFonts w:ascii="Calibri" w:hAnsi="Calibri" w:cs="Times New Roman"/>
          <w:lang w:val="en-US"/>
        </w:rPr>
        <w:t xml:space="preserve">sometimes </w:t>
      </w:r>
      <w:r w:rsidR="00D31223" w:rsidRPr="001215B9">
        <w:rPr>
          <w:rFonts w:ascii="Calibri" w:hAnsi="Calibri" w:cs="Times New Roman"/>
          <w:lang w:val="en-US"/>
        </w:rPr>
        <w:t>institutional limitations</w:t>
      </w:r>
      <w:r w:rsidR="0014012C" w:rsidRPr="001215B9">
        <w:rPr>
          <w:rFonts w:ascii="Calibri" w:hAnsi="Calibri" w:cs="Times New Roman"/>
          <w:lang w:val="en-US"/>
        </w:rPr>
        <w:t xml:space="preserve">, </w:t>
      </w:r>
      <w:r w:rsidR="00082D70">
        <w:rPr>
          <w:rFonts w:ascii="Calibri" w:hAnsi="Calibri" w:cs="Times New Roman"/>
          <w:lang w:val="en-US"/>
        </w:rPr>
        <w:t>together with</w:t>
      </w:r>
      <w:r w:rsidR="0014012C" w:rsidRPr="001215B9">
        <w:rPr>
          <w:rFonts w:ascii="Calibri" w:hAnsi="Calibri" w:cs="Times New Roman"/>
          <w:lang w:val="en-US"/>
        </w:rPr>
        <w:t xml:space="preserve"> cultural and </w:t>
      </w:r>
      <w:r w:rsidR="00A15D4D" w:rsidRPr="001215B9">
        <w:rPr>
          <w:rFonts w:ascii="Calibri" w:hAnsi="Calibri" w:cs="Times New Roman"/>
          <w:lang w:val="en-US"/>
        </w:rPr>
        <w:t>language differences</w:t>
      </w:r>
      <w:r w:rsidR="0014012C" w:rsidRPr="001215B9">
        <w:rPr>
          <w:rFonts w:ascii="Calibri" w:hAnsi="Calibri" w:cs="Times New Roman"/>
          <w:lang w:val="en-US"/>
        </w:rPr>
        <w:t xml:space="preserve"> across the region </w:t>
      </w:r>
      <w:r w:rsidR="00082D70">
        <w:rPr>
          <w:rFonts w:ascii="Calibri" w:hAnsi="Calibri" w:cs="Times New Roman"/>
          <w:lang w:val="en-US"/>
        </w:rPr>
        <w:t>raise additional</w:t>
      </w:r>
      <w:r w:rsidR="00A15D4D" w:rsidRPr="001215B9">
        <w:rPr>
          <w:rFonts w:ascii="Calibri" w:hAnsi="Calibri" w:cs="Times New Roman"/>
          <w:lang w:val="en-US"/>
        </w:rPr>
        <w:t xml:space="preserve"> constraints </w:t>
      </w:r>
      <w:r w:rsidR="00D31223" w:rsidRPr="001215B9">
        <w:rPr>
          <w:rFonts w:ascii="Calibri" w:hAnsi="Calibri" w:cs="Times New Roman"/>
          <w:lang w:val="en-US"/>
        </w:rPr>
        <w:t>(</w:t>
      </w:r>
      <w:r w:rsidR="00D31223" w:rsidRPr="00C868EA">
        <w:rPr>
          <w:rFonts w:ascii="Calibri" w:hAnsi="Calibri" w:cs="Times New Roman"/>
          <w:lang w:val="en-US"/>
        </w:rPr>
        <w:t>Interview</w:t>
      </w:r>
      <w:r w:rsidR="00C868EA" w:rsidRPr="00C868EA">
        <w:rPr>
          <w:rFonts w:ascii="Calibri" w:hAnsi="Calibri" w:cs="Times New Roman"/>
          <w:lang w:val="en-US"/>
        </w:rPr>
        <w:t>s</w:t>
      </w:r>
      <w:r w:rsidR="00D31223" w:rsidRPr="00C868EA">
        <w:rPr>
          <w:rFonts w:ascii="Calibri" w:hAnsi="Calibri" w:cs="Times New Roman"/>
          <w:lang w:val="en-US"/>
        </w:rPr>
        <w:t xml:space="preserve"> </w:t>
      </w:r>
      <w:r w:rsidR="00810AAC" w:rsidRPr="00C868EA">
        <w:rPr>
          <w:rFonts w:ascii="Calibri" w:hAnsi="Calibri" w:cs="Times New Roman"/>
          <w:lang w:val="en-US"/>
        </w:rPr>
        <w:t>15, 16</w:t>
      </w:r>
      <w:r w:rsidR="00D31223" w:rsidRPr="00C868EA">
        <w:rPr>
          <w:rFonts w:ascii="Calibri" w:hAnsi="Calibri" w:cs="Times New Roman"/>
          <w:lang w:val="en-US"/>
        </w:rPr>
        <w:t>).</w:t>
      </w:r>
      <w:r w:rsidR="00D31223" w:rsidRPr="001215B9">
        <w:rPr>
          <w:rFonts w:ascii="Calibri" w:hAnsi="Calibri" w:cs="Times New Roman"/>
          <w:lang w:val="en-US"/>
        </w:rPr>
        <w:t xml:space="preserve"> </w:t>
      </w:r>
    </w:p>
    <w:p w14:paraId="259A2EAF" w14:textId="6FD2BFB9" w:rsidR="00D64571" w:rsidRPr="001215B9" w:rsidRDefault="00952D17" w:rsidP="001215B9">
      <w:pPr>
        <w:spacing w:line="360" w:lineRule="auto"/>
        <w:jc w:val="both"/>
        <w:rPr>
          <w:rFonts w:ascii="Calibri" w:hAnsi="Calibri" w:cs="Times New Roman"/>
          <w:lang w:val="en-US"/>
        </w:rPr>
      </w:pPr>
      <w:r>
        <w:rPr>
          <w:rFonts w:ascii="Calibri" w:hAnsi="Calibri" w:cs="Times New Roman"/>
          <w:lang w:val="en-US"/>
        </w:rPr>
        <w:lastRenderedPageBreak/>
        <w:t>Wider</w:t>
      </w:r>
      <w:r w:rsidR="004B4FED" w:rsidRPr="001215B9">
        <w:rPr>
          <w:rFonts w:ascii="Calibri" w:hAnsi="Calibri" w:cs="Times New Roman"/>
          <w:lang w:val="en-US"/>
        </w:rPr>
        <w:t xml:space="preserve"> mobility commitments have been achieved </w:t>
      </w:r>
      <w:r w:rsidR="00331A93" w:rsidRPr="001215B9">
        <w:rPr>
          <w:rFonts w:ascii="Calibri" w:hAnsi="Calibri" w:cs="Times New Roman"/>
          <w:lang w:val="en-US"/>
        </w:rPr>
        <w:t xml:space="preserve">in </w:t>
      </w:r>
      <w:r w:rsidR="004B4FED" w:rsidRPr="001215B9">
        <w:rPr>
          <w:rFonts w:ascii="Calibri" w:hAnsi="Calibri" w:cs="Times New Roman"/>
          <w:lang w:val="en-US"/>
        </w:rPr>
        <w:t>extra-regional</w:t>
      </w:r>
      <w:r w:rsidR="00331A93" w:rsidRPr="001215B9">
        <w:rPr>
          <w:rFonts w:ascii="Calibri" w:hAnsi="Calibri" w:cs="Times New Roman"/>
          <w:lang w:val="en-US"/>
        </w:rPr>
        <w:t xml:space="preserve"> FTAs, </w:t>
      </w:r>
      <w:r w:rsidR="00931243" w:rsidRPr="001215B9">
        <w:rPr>
          <w:rFonts w:ascii="Calibri" w:hAnsi="Calibri" w:cs="Times New Roman"/>
          <w:lang w:val="en-US"/>
        </w:rPr>
        <w:t>or</w:t>
      </w:r>
      <w:r w:rsidR="00E078B1">
        <w:rPr>
          <w:rFonts w:ascii="Calibri" w:hAnsi="Calibri" w:cs="Times New Roman"/>
          <w:lang w:val="en-US"/>
        </w:rPr>
        <w:t xml:space="preserve"> </w:t>
      </w:r>
      <w:r w:rsidR="00331A93" w:rsidRPr="001215B9">
        <w:rPr>
          <w:rFonts w:ascii="Calibri" w:hAnsi="Calibri" w:cs="Times New Roman"/>
          <w:lang w:val="en-US"/>
        </w:rPr>
        <w:t>bilaterally, in</w:t>
      </w:r>
      <w:r w:rsidR="00931243" w:rsidRPr="001215B9">
        <w:rPr>
          <w:rFonts w:ascii="Calibri" w:hAnsi="Calibri" w:cs="Times New Roman"/>
          <w:lang w:val="en-US"/>
        </w:rPr>
        <w:t xml:space="preserve"> individual</w:t>
      </w:r>
      <w:r w:rsidR="00E078B1">
        <w:rPr>
          <w:rFonts w:ascii="Calibri" w:hAnsi="Calibri" w:cs="Times New Roman"/>
          <w:lang w:val="en-US"/>
        </w:rPr>
        <w:t xml:space="preserve"> </w:t>
      </w:r>
      <w:r w:rsidR="00331A93" w:rsidRPr="001215B9">
        <w:rPr>
          <w:rFonts w:ascii="Calibri" w:hAnsi="Calibri" w:cs="Times New Roman"/>
          <w:lang w:val="en-US"/>
        </w:rPr>
        <w:t xml:space="preserve">FTAs </w:t>
      </w:r>
      <w:r>
        <w:rPr>
          <w:rFonts w:ascii="Calibri" w:hAnsi="Calibri" w:cs="Times New Roman"/>
          <w:lang w:val="en-US"/>
        </w:rPr>
        <w:t>concluded</w:t>
      </w:r>
      <w:r w:rsidR="00E078B1">
        <w:rPr>
          <w:rFonts w:ascii="Calibri" w:hAnsi="Calibri" w:cs="Times New Roman"/>
          <w:lang w:val="en-US"/>
        </w:rPr>
        <w:t xml:space="preserve"> </w:t>
      </w:r>
      <w:r w:rsidR="00331A93" w:rsidRPr="001215B9">
        <w:rPr>
          <w:rFonts w:ascii="Calibri" w:hAnsi="Calibri" w:cs="Times New Roman"/>
          <w:lang w:val="en-US"/>
        </w:rPr>
        <w:t xml:space="preserve">by ASEAN </w:t>
      </w:r>
      <w:r w:rsidR="007D4753" w:rsidRPr="001215B9">
        <w:rPr>
          <w:rFonts w:ascii="Calibri" w:hAnsi="Calibri" w:cs="Times New Roman"/>
          <w:lang w:val="en-US"/>
        </w:rPr>
        <w:t>members.</w:t>
      </w:r>
      <w:r w:rsidR="00E078B1">
        <w:rPr>
          <w:rFonts w:ascii="Calibri" w:hAnsi="Calibri" w:cs="Times New Roman"/>
          <w:lang w:val="en-US"/>
        </w:rPr>
        <w:t xml:space="preserve"> </w:t>
      </w:r>
      <w:r w:rsidR="007D4753" w:rsidRPr="001215B9">
        <w:rPr>
          <w:rFonts w:ascii="Calibri" w:hAnsi="Calibri" w:cs="Times New Roman"/>
          <w:lang w:val="en-US"/>
        </w:rPr>
        <w:t xml:space="preserve">A prominent example is the </w:t>
      </w:r>
      <w:r w:rsidR="007019DC" w:rsidRPr="001215B9">
        <w:rPr>
          <w:rFonts w:ascii="Calibri" w:hAnsi="Calibri" w:cs="Times New Roman"/>
          <w:lang w:val="en-US"/>
        </w:rPr>
        <w:t>ASEAN-Australia-New Zea</w:t>
      </w:r>
      <w:r w:rsidR="007D4753" w:rsidRPr="001215B9">
        <w:rPr>
          <w:rFonts w:ascii="Calibri" w:hAnsi="Calibri" w:cs="Times New Roman"/>
          <w:lang w:val="en-US"/>
        </w:rPr>
        <w:t>land FTA</w:t>
      </w:r>
      <w:r w:rsidR="007019DC" w:rsidRPr="001215B9">
        <w:rPr>
          <w:rFonts w:ascii="Calibri" w:hAnsi="Calibri" w:cs="Times New Roman"/>
          <w:lang w:val="en-US"/>
        </w:rPr>
        <w:t>.</w:t>
      </w:r>
      <w:r w:rsidR="00E078B1">
        <w:rPr>
          <w:rFonts w:ascii="Calibri" w:hAnsi="Calibri" w:cs="Times New Roman"/>
          <w:lang w:val="en-US"/>
        </w:rPr>
        <w:t xml:space="preserve"> </w:t>
      </w:r>
      <w:r w:rsidR="00B172DB" w:rsidRPr="001215B9">
        <w:rPr>
          <w:rFonts w:ascii="Calibri" w:hAnsi="Calibri" w:cs="Times New Roman"/>
          <w:lang w:val="en-US"/>
        </w:rPr>
        <w:t>The agreement</w:t>
      </w:r>
      <w:r w:rsidR="00E078B1">
        <w:rPr>
          <w:rFonts w:ascii="Calibri" w:hAnsi="Calibri" w:cs="Times New Roman"/>
          <w:lang w:val="en-US"/>
        </w:rPr>
        <w:t xml:space="preserve"> </w:t>
      </w:r>
      <w:r w:rsidR="007019DC" w:rsidRPr="001215B9">
        <w:rPr>
          <w:rFonts w:ascii="Calibri" w:hAnsi="Calibri" w:cs="Times New Roman"/>
          <w:lang w:val="en-US"/>
        </w:rPr>
        <w:t>delineates</w:t>
      </w:r>
      <w:r w:rsidR="00E078B1">
        <w:rPr>
          <w:rFonts w:ascii="Calibri" w:hAnsi="Calibri" w:cs="Times New Roman"/>
          <w:lang w:val="en-US"/>
        </w:rPr>
        <w:t xml:space="preserve"> </w:t>
      </w:r>
      <w:r w:rsidR="00DB5DC2">
        <w:rPr>
          <w:rFonts w:ascii="Calibri" w:hAnsi="Calibri" w:cs="Times New Roman"/>
          <w:lang w:val="en-US"/>
        </w:rPr>
        <w:t>several</w:t>
      </w:r>
      <w:r w:rsidR="00E078B1">
        <w:rPr>
          <w:rFonts w:ascii="Calibri" w:hAnsi="Calibri" w:cs="Times New Roman"/>
          <w:lang w:val="en-US"/>
        </w:rPr>
        <w:t xml:space="preserve"> </w:t>
      </w:r>
      <w:r w:rsidR="007F2206" w:rsidRPr="001215B9">
        <w:rPr>
          <w:rFonts w:ascii="Calibri" w:hAnsi="Calibri" w:cs="Times New Roman"/>
          <w:lang w:val="en-US"/>
        </w:rPr>
        <w:t xml:space="preserve">categories </w:t>
      </w:r>
      <w:r w:rsidR="00B172DB" w:rsidRPr="001215B9">
        <w:rPr>
          <w:rFonts w:ascii="Calibri" w:hAnsi="Calibri" w:cs="Times New Roman"/>
          <w:lang w:val="en-US"/>
        </w:rPr>
        <w:t xml:space="preserve">of service suppliers, including CSSs and IPs, </w:t>
      </w:r>
      <w:r w:rsidR="00EE7BE2" w:rsidRPr="001215B9">
        <w:rPr>
          <w:rFonts w:ascii="Calibri" w:hAnsi="Calibri" w:cs="Times New Roman"/>
          <w:lang w:val="en-US"/>
        </w:rPr>
        <w:t>natural persons</w:t>
      </w:r>
      <w:r w:rsidR="00E078B1">
        <w:rPr>
          <w:rFonts w:ascii="Calibri" w:hAnsi="Calibri" w:cs="Times New Roman"/>
          <w:lang w:val="en-US"/>
        </w:rPr>
        <w:t xml:space="preserve"> </w:t>
      </w:r>
      <w:r w:rsidR="007F2206" w:rsidRPr="001215B9">
        <w:rPr>
          <w:rFonts w:ascii="Calibri" w:hAnsi="Calibri" w:cs="Times New Roman"/>
          <w:lang w:val="en-US"/>
        </w:rPr>
        <w:t>de-linked from commercial presence</w:t>
      </w:r>
      <w:r w:rsidR="000F4949" w:rsidRPr="001215B9">
        <w:rPr>
          <w:rFonts w:ascii="Calibri" w:hAnsi="Calibri" w:cs="Times New Roman"/>
          <w:lang w:val="en-US"/>
        </w:rPr>
        <w:t>.</w:t>
      </w:r>
      <w:r w:rsidR="00E078B1">
        <w:rPr>
          <w:rFonts w:ascii="Calibri" w:hAnsi="Calibri" w:cs="Times New Roman"/>
          <w:lang w:val="en-US"/>
        </w:rPr>
        <w:t xml:space="preserve"> </w:t>
      </w:r>
      <w:r w:rsidR="0011439F" w:rsidRPr="001215B9">
        <w:rPr>
          <w:rFonts w:ascii="Calibri" w:hAnsi="Calibri" w:cs="Times New Roman"/>
          <w:lang w:val="en-US"/>
        </w:rPr>
        <w:t xml:space="preserve">Australia </w:t>
      </w:r>
      <w:r w:rsidR="007F2206" w:rsidRPr="001215B9">
        <w:rPr>
          <w:rFonts w:ascii="Calibri" w:hAnsi="Calibri" w:cs="Times New Roman"/>
          <w:lang w:val="en-US"/>
        </w:rPr>
        <w:t>even grants full working rights to family members for those service suppliers staying abroad from more than 12 months.</w:t>
      </w:r>
      <w:r w:rsidR="00E078B1">
        <w:rPr>
          <w:rFonts w:ascii="Calibri" w:hAnsi="Calibri" w:cs="Times New Roman"/>
          <w:lang w:val="en-US"/>
        </w:rPr>
        <w:t xml:space="preserve"> </w:t>
      </w:r>
      <w:r w:rsidR="00DB5DC2">
        <w:rPr>
          <w:rFonts w:ascii="Calibri" w:hAnsi="Calibri" w:cs="Times New Roman"/>
          <w:lang w:val="en-US"/>
        </w:rPr>
        <w:t>T</w:t>
      </w:r>
      <w:r w:rsidR="00771198" w:rsidRPr="001215B9">
        <w:rPr>
          <w:rFonts w:ascii="Calibri" w:hAnsi="Calibri" w:cs="Times New Roman"/>
          <w:lang w:val="en-US"/>
        </w:rPr>
        <w:t xml:space="preserve">he most developed economies </w:t>
      </w:r>
      <w:r w:rsidR="00EB577D" w:rsidRPr="001215B9">
        <w:rPr>
          <w:rFonts w:ascii="Calibri" w:hAnsi="Calibri" w:cs="Times New Roman"/>
          <w:lang w:val="en-US"/>
        </w:rPr>
        <w:t>in the region</w:t>
      </w:r>
      <w:r w:rsidR="00771198" w:rsidRPr="001215B9">
        <w:rPr>
          <w:rFonts w:ascii="Calibri" w:hAnsi="Calibri" w:cs="Times New Roman"/>
          <w:lang w:val="en-US"/>
        </w:rPr>
        <w:t xml:space="preserve"> have engaged in bilateral FTAs, moving beyond the </w:t>
      </w:r>
      <w:r w:rsidR="00EB577D" w:rsidRPr="001215B9">
        <w:rPr>
          <w:rFonts w:ascii="Calibri" w:hAnsi="Calibri" w:cs="Times New Roman"/>
          <w:lang w:val="en-US"/>
        </w:rPr>
        <w:t xml:space="preserve">ASEAN </w:t>
      </w:r>
      <w:r w:rsidR="00771198" w:rsidRPr="001215B9">
        <w:rPr>
          <w:rFonts w:ascii="Calibri" w:hAnsi="Calibri" w:cs="Times New Roman"/>
          <w:lang w:val="en-US"/>
        </w:rPr>
        <w:t>status quo.</w:t>
      </w:r>
      <w:r w:rsidR="00C2604F" w:rsidRPr="001215B9">
        <w:rPr>
          <w:rFonts w:ascii="Calibri" w:hAnsi="Calibri" w:cs="Times New Roman"/>
          <w:lang w:val="en-US"/>
        </w:rPr>
        <w:t xml:space="preserve"> Notably, Singapore has concluded trade agreements encompassing generous mode 4 commitments </w:t>
      </w:r>
      <w:r w:rsidR="00F461FE" w:rsidRPr="001215B9">
        <w:rPr>
          <w:rFonts w:ascii="Calibri" w:hAnsi="Calibri" w:cs="Times New Roman"/>
          <w:lang w:val="en-US"/>
        </w:rPr>
        <w:t>with</w:t>
      </w:r>
      <w:r w:rsidR="00E455B7">
        <w:rPr>
          <w:rFonts w:ascii="Calibri" w:hAnsi="Calibri" w:cs="Times New Roman"/>
          <w:lang w:val="en-US"/>
        </w:rPr>
        <w:t xml:space="preserve"> </w:t>
      </w:r>
      <w:r w:rsidR="00C2604F" w:rsidRPr="001215B9">
        <w:rPr>
          <w:rFonts w:ascii="Calibri" w:hAnsi="Calibri" w:cs="Times New Roman"/>
          <w:lang w:val="en-US"/>
        </w:rPr>
        <w:t xml:space="preserve">industrialized countries such as the US, </w:t>
      </w:r>
      <w:r w:rsidR="00E455B7">
        <w:rPr>
          <w:rFonts w:ascii="Calibri" w:hAnsi="Calibri" w:cs="Times New Roman"/>
          <w:lang w:val="en-US"/>
        </w:rPr>
        <w:t xml:space="preserve">the EU, </w:t>
      </w:r>
      <w:r w:rsidR="00CB1DD5" w:rsidRPr="001215B9">
        <w:rPr>
          <w:rFonts w:ascii="Calibri" w:hAnsi="Calibri" w:cs="Times New Roman"/>
          <w:lang w:val="en-US"/>
        </w:rPr>
        <w:t xml:space="preserve">New Zealand, </w:t>
      </w:r>
      <w:r w:rsidR="00F461FE" w:rsidRPr="001215B9">
        <w:rPr>
          <w:rFonts w:ascii="Calibri" w:hAnsi="Calibri" w:cs="Times New Roman"/>
          <w:lang w:val="en-US"/>
        </w:rPr>
        <w:t>Korea, Japan</w:t>
      </w:r>
      <w:r w:rsidR="007F4FCD" w:rsidRPr="001215B9">
        <w:rPr>
          <w:rFonts w:ascii="Calibri" w:hAnsi="Calibri" w:cs="Times New Roman"/>
          <w:lang w:val="en-US"/>
        </w:rPr>
        <w:t>, but also with developing economies among which India and China.</w:t>
      </w:r>
      <w:r w:rsidR="00E078B1">
        <w:rPr>
          <w:rFonts w:ascii="Calibri" w:hAnsi="Calibri" w:cs="Times New Roman"/>
          <w:lang w:val="en-US"/>
        </w:rPr>
        <w:t xml:space="preserve"> </w:t>
      </w:r>
      <w:r w:rsidR="003259E0" w:rsidRPr="001215B9">
        <w:rPr>
          <w:rFonts w:ascii="Calibri" w:hAnsi="Calibri" w:cs="Times New Roman"/>
          <w:lang w:val="en-US"/>
        </w:rPr>
        <w:t xml:space="preserve">The </w:t>
      </w:r>
      <w:r w:rsidR="0044190F" w:rsidRPr="001215B9">
        <w:rPr>
          <w:rFonts w:ascii="Calibri" w:hAnsi="Calibri" w:cs="Times New Roman"/>
          <w:lang w:val="en-US"/>
        </w:rPr>
        <w:t xml:space="preserve">far-reaching </w:t>
      </w:r>
      <w:r w:rsidR="00C573F9" w:rsidRPr="001215B9">
        <w:rPr>
          <w:rFonts w:ascii="Calibri" w:hAnsi="Calibri" w:cs="Times New Roman"/>
          <w:lang w:val="en-US"/>
        </w:rPr>
        <w:t xml:space="preserve">US-Singapore FTA has even </w:t>
      </w:r>
      <w:r w:rsidR="0044190F" w:rsidRPr="001215B9">
        <w:rPr>
          <w:rFonts w:ascii="Calibri" w:hAnsi="Calibri" w:cs="Times New Roman"/>
          <w:lang w:val="en-US"/>
        </w:rPr>
        <w:t>made</w:t>
      </w:r>
      <w:r w:rsidR="00E078B1">
        <w:rPr>
          <w:rFonts w:ascii="Calibri" w:hAnsi="Calibri" w:cs="Times New Roman"/>
          <w:lang w:val="en-US"/>
        </w:rPr>
        <w:t xml:space="preserve"> </w:t>
      </w:r>
      <w:r w:rsidR="00C573F9" w:rsidRPr="001215B9">
        <w:rPr>
          <w:rFonts w:ascii="Calibri" w:hAnsi="Calibri" w:cs="Times New Roman"/>
          <w:lang w:val="en-US"/>
        </w:rPr>
        <w:t>visa</w:t>
      </w:r>
      <w:r w:rsidR="00E078B1">
        <w:rPr>
          <w:rFonts w:ascii="Calibri" w:hAnsi="Calibri" w:cs="Times New Roman"/>
          <w:lang w:val="en-US"/>
        </w:rPr>
        <w:t xml:space="preserve"> </w:t>
      </w:r>
      <w:r w:rsidR="0044190F" w:rsidRPr="001215B9">
        <w:rPr>
          <w:rFonts w:ascii="Calibri" w:hAnsi="Calibri" w:cs="Times New Roman"/>
          <w:lang w:val="en-US"/>
        </w:rPr>
        <w:t>concessions</w:t>
      </w:r>
      <w:r w:rsidR="00BC7D45" w:rsidRPr="001215B9">
        <w:rPr>
          <w:rFonts w:ascii="Calibri" w:hAnsi="Calibri" w:cs="Times New Roman"/>
          <w:lang w:val="en-US"/>
        </w:rPr>
        <w:t>, allowing</w:t>
      </w:r>
      <w:r w:rsidR="00E078B1">
        <w:rPr>
          <w:rFonts w:ascii="Calibri" w:hAnsi="Calibri" w:cs="Times New Roman"/>
          <w:lang w:val="en-US"/>
        </w:rPr>
        <w:t xml:space="preserve"> </w:t>
      </w:r>
      <w:r w:rsidR="00BC7D45" w:rsidRPr="001215B9">
        <w:rPr>
          <w:rFonts w:ascii="Calibri" w:hAnsi="Calibri" w:cs="Times New Roman"/>
          <w:lang w:val="en-US"/>
        </w:rPr>
        <w:t>Singaporean professionals to enter</w:t>
      </w:r>
      <w:r w:rsidR="00C573F9" w:rsidRPr="001215B9">
        <w:rPr>
          <w:rFonts w:ascii="Calibri" w:hAnsi="Calibri" w:cs="Times New Roman"/>
          <w:lang w:val="en-US"/>
        </w:rPr>
        <w:t xml:space="preserve"> the US</w:t>
      </w:r>
      <w:r w:rsidR="00BC7D45" w:rsidRPr="001215B9">
        <w:rPr>
          <w:rFonts w:ascii="Calibri" w:hAnsi="Calibri" w:cs="Times New Roman"/>
          <w:lang w:val="en-US"/>
        </w:rPr>
        <w:t xml:space="preserve"> under a specific visa</w:t>
      </w:r>
      <w:r w:rsidR="00D76907" w:rsidRPr="001215B9">
        <w:rPr>
          <w:rFonts w:ascii="Calibri" w:hAnsi="Calibri" w:cs="Times New Roman"/>
          <w:lang w:val="en-US"/>
        </w:rPr>
        <w:t xml:space="preserve"> (H1-B1)</w:t>
      </w:r>
      <w:r w:rsidR="00DE2BEC" w:rsidRPr="001215B9">
        <w:rPr>
          <w:rFonts w:ascii="Calibri" w:hAnsi="Calibri" w:cs="Times New Roman"/>
          <w:lang w:val="en-US"/>
        </w:rPr>
        <w:t xml:space="preserve"> without any labour market tests</w:t>
      </w:r>
      <w:r w:rsidR="00C573F9" w:rsidRPr="001215B9">
        <w:rPr>
          <w:rFonts w:ascii="Calibri" w:hAnsi="Calibri" w:cs="Times New Roman"/>
          <w:lang w:val="en-US"/>
        </w:rPr>
        <w:t xml:space="preserve"> (see also above section on US FTAs).</w:t>
      </w:r>
      <w:r w:rsidR="007765BF" w:rsidRPr="001215B9">
        <w:rPr>
          <w:rFonts w:ascii="Calibri" w:hAnsi="Calibri" w:cs="Times New Roman"/>
          <w:lang w:val="en-US"/>
        </w:rPr>
        <w:t xml:space="preserve"> CSSs and a number of professional service providers </w:t>
      </w:r>
      <w:r w:rsidR="000F7A1B" w:rsidRPr="001215B9">
        <w:rPr>
          <w:rFonts w:ascii="Calibri" w:hAnsi="Calibri" w:cs="Times New Roman"/>
          <w:lang w:val="en-US"/>
        </w:rPr>
        <w:t xml:space="preserve">were </w:t>
      </w:r>
      <w:r w:rsidR="0053347E" w:rsidRPr="001215B9">
        <w:rPr>
          <w:rFonts w:ascii="Calibri" w:hAnsi="Calibri" w:cs="Times New Roman"/>
          <w:lang w:val="en-US"/>
        </w:rPr>
        <w:t>liberalized</w:t>
      </w:r>
      <w:r w:rsidR="00526E0B">
        <w:rPr>
          <w:rFonts w:ascii="Calibri" w:hAnsi="Calibri" w:cs="Times New Roman"/>
          <w:lang w:val="en-US"/>
        </w:rPr>
        <w:t xml:space="preserve"> in </w:t>
      </w:r>
      <w:r w:rsidR="00526E0B" w:rsidRPr="001215B9">
        <w:rPr>
          <w:rFonts w:ascii="Calibri" w:hAnsi="Calibri" w:cs="Times New Roman"/>
          <w:lang w:val="en-US"/>
        </w:rPr>
        <w:t>the FTAs with Korea and Japan</w:t>
      </w:r>
      <w:r w:rsidR="000F7A1B" w:rsidRPr="001215B9">
        <w:rPr>
          <w:rFonts w:ascii="Calibri" w:hAnsi="Calibri" w:cs="Times New Roman"/>
          <w:lang w:val="en-US"/>
        </w:rPr>
        <w:t xml:space="preserve">. Similarly, these categories de-linked from commercial presence were included in the agreements signed by Singapore with India and China. </w:t>
      </w:r>
      <w:r w:rsidR="00AB35FD" w:rsidRPr="001215B9">
        <w:rPr>
          <w:rFonts w:ascii="Calibri" w:hAnsi="Calibri" w:cs="Times New Roman"/>
          <w:lang w:val="en-US"/>
        </w:rPr>
        <w:t>Other bilateral agreements</w:t>
      </w:r>
      <w:r w:rsidR="00E078B1">
        <w:rPr>
          <w:rFonts w:ascii="Calibri" w:hAnsi="Calibri" w:cs="Times New Roman"/>
          <w:lang w:val="en-US"/>
        </w:rPr>
        <w:t xml:space="preserve"> </w:t>
      </w:r>
      <w:r w:rsidR="00195086" w:rsidRPr="001215B9">
        <w:rPr>
          <w:rFonts w:ascii="Calibri" w:hAnsi="Calibri" w:cs="Times New Roman"/>
          <w:lang w:val="en-US"/>
        </w:rPr>
        <w:t xml:space="preserve">covering CSSs and specific independent professions (e.g. cooks, instructors, care-workers, etc.) </w:t>
      </w:r>
      <w:r w:rsidR="00AB35FD" w:rsidRPr="001215B9">
        <w:rPr>
          <w:rFonts w:ascii="Calibri" w:hAnsi="Calibri" w:cs="Times New Roman"/>
          <w:lang w:val="en-US"/>
        </w:rPr>
        <w:t xml:space="preserve">are </w:t>
      </w:r>
      <w:r w:rsidR="00195086" w:rsidRPr="001215B9">
        <w:rPr>
          <w:rFonts w:ascii="Calibri" w:hAnsi="Calibri" w:cs="Times New Roman"/>
          <w:lang w:val="en-US"/>
        </w:rPr>
        <w:t>for instance the one</w:t>
      </w:r>
      <w:r w:rsidR="00B74343">
        <w:rPr>
          <w:rFonts w:ascii="Calibri" w:hAnsi="Calibri" w:cs="Times New Roman"/>
          <w:lang w:val="en-US"/>
        </w:rPr>
        <w:t>s</w:t>
      </w:r>
      <w:r w:rsidR="00195086" w:rsidRPr="001215B9">
        <w:rPr>
          <w:rFonts w:ascii="Calibri" w:hAnsi="Calibri" w:cs="Times New Roman"/>
          <w:lang w:val="en-US"/>
        </w:rPr>
        <w:t xml:space="preserve"> concluded by Philippine, Thailand, Malaysia with Japan (also Malaysia with</w:t>
      </w:r>
      <w:r w:rsidR="00E078B1">
        <w:rPr>
          <w:rFonts w:ascii="Calibri" w:hAnsi="Calibri" w:cs="Times New Roman"/>
          <w:lang w:val="en-US"/>
        </w:rPr>
        <w:t xml:space="preserve"> </w:t>
      </w:r>
      <w:r w:rsidR="00195086" w:rsidRPr="001215B9">
        <w:rPr>
          <w:rFonts w:ascii="Calibri" w:hAnsi="Calibri" w:cs="Times New Roman"/>
          <w:lang w:val="en-US"/>
        </w:rPr>
        <w:t>New Zealand, Australia, Korea, India, China).</w:t>
      </w:r>
      <w:r w:rsidR="00D64571" w:rsidRPr="001215B9">
        <w:rPr>
          <w:rFonts w:ascii="Calibri" w:hAnsi="Calibri" w:cs="Times New Roman"/>
          <w:lang w:val="en-US"/>
        </w:rPr>
        <w:t xml:space="preserve"> More bilateral FTAs are currently under negotiations, including some launched by the EU with Vietnam, Malaysia</w:t>
      </w:r>
      <w:r w:rsidR="00EF7913">
        <w:rPr>
          <w:rFonts w:ascii="Calibri" w:hAnsi="Calibri" w:cs="Times New Roman"/>
          <w:lang w:val="en-US"/>
        </w:rPr>
        <w:t>, and Thailand</w:t>
      </w:r>
      <w:r w:rsidR="00D64571" w:rsidRPr="001215B9">
        <w:rPr>
          <w:rFonts w:ascii="Calibri" w:hAnsi="Calibri" w:cs="Times New Roman"/>
          <w:lang w:val="en-US"/>
        </w:rPr>
        <w:t xml:space="preserve"> </w:t>
      </w:r>
      <w:r w:rsidR="00D64571" w:rsidRPr="00A82BBA">
        <w:rPr>
          <w:rFonts w:ascii="Calibri" w:hAnsi="Calibri" w:cs="Times New Roman"/>
          <w:lang w:val="en-US"/>
        </w:rPr>
        <w:t>(Interview</w:t>
      </w:r>
      <w:r w:rsidR="00502D99">
        <w:rPr>
          <w:rFonts w:ascii="Calibri" w:hAnsi="Calibri" w:cs="Times New Roman"/>
          <w:lang w:val="en-US"/>
        </w:rPr>
        <w:t xml:space="preserve"> 1</w:t>
      </w:r>
      <w:r w:rsidR="00D653A9">
        <w:rPr>
          <w:rFonts w:ascii="Calibri" w:hAnsi="Calibri" w:cs="Times New Roman"/>
          <w:lang w:val="en-US"/>
        </w:rPr>
        <w:t>7</w:t>
      </w:r>
      <w:r w:rsidR="00D64571" w:rsidRPr="001215B9">
        <w:rPr>
          <w:rFonts w:ascii="Calibri" w:hAnsi="Calibri" w:cs="Times New Roman"/>
          <w:lang w:val="en-US"/>
        </w:rPr>
        <w:t xml:space="preserve">). </w:t>
      </w:r>
    </w:p>
    <w:p w14:paraId="26FDC4FF" w14:textId="4BAEF483" w:rsidR="00BE0C5B" w:rsidRPr="001215B9" w:rsidRDefault="00AE2E25" w:rsidP="001215B9">
      <w:pPr>
        <w:spacing w:line="360" w:lineRule="auto"/>
        <w:jc w:val="both"/>
        <w:rPr>
          <w:rFonts w:ascii="Calibri" w:hAnsi="Calibri" w:cs="Times New Roman"/>
          <w:lang w:val="en-US"/>
        </w:rPr>
      </w:pPr>
      <w:r w:rsidRPr="001215B9">
        <w:rPr>
          <w:rFonts w:ascii="Calibri" w:hAnsi="Calibri" w:cs="Times New Roman"/>
          <w:lang w:val="en-US"/>
        </w:rPr>
        <w:t xml:space="preserve">In sum, intra-ASEAN movement of natural persons has sought to deepen regional economic integration and a series of steps have been completed to achieving this goal, </w:t>
      </w:r>
      <w:r w:rsidR="00256639" w:rsidRPr="001215B9">
        <w:rPr>
          <w:rFonts w:ascii="Calibri" w:hAnsi="Calibri" w:cs="Times New Roman"/>
          <w:lang w:val="en-US"/>
        </w:rPr>
        <w:t>notably</w:t>
      </w:r>
      <w:r w:rsidRPr="001215B9">
        <w:rPr>
          <w:rFonts w:ascii="Calibri" w:hAnsi="Calibri" w:cs="Times New Roman"/>
          <w:lang w:val="en-US"/>
        </w:rPr>
        <w:t xml:space="preserve"> the </w:t>
      </w:r>
      <w:r w:rsidR="00256639" w:rsidRPr="001215B9">
        <w:rPr>
          <w:rFonts w:ascii="Calibri" w:hAnsi="Calibri" w:cs="Times New Roman"/>
          <w:lang w:val="en-US"/>
        </w:rPr>
        <w:t>developments within</w:t>
      </w:r>
      <w:r w:rsidRPr="001215B9">
        <w:rPr>
          <w:rFonts w:ascii="Calibri" w:hAnsi="Calibri" w:cs="Times New Roman"/>
          <w:lang w:val="en-US"/>
        </w:rPr>
        <w:t xml:space="preserve"> AFAS</w:t>
      </w:r>
      <w:r w:rsidR="00256639" w:rsidRPr="001215B9">
        <w:rPr>
          <w:rFonts w:ascii="Calibri" w:hAnsi="Calibri" w:cs="Times New Roman"/>
          <w:lang w:val="en-US"/>
        </w:rPr>
        <w:t>/MNP</w:t>
      </w:r>
      <w:r w:rsidRPr="001215B9">
        <w:rPr>
          <w:rFonts w:ascii="Calibri" w:hAnsi="Calibri" w:cs="Times New Roman"/>
          <w:lang w:val="en-US"/>
        </w:rPr>
        <w:t xml:space="preserve"> and </w:t>
      </w:r>
      <w:r w:rsidR="00256639" w:rsidRPr="001215B9">
        <w:rPr>
          <w:rFonts w:ascii="Calibri" w:hAnsi="Calibri" w:cs="Times New Roman"/>
          <w:lang w:val="en-US"/>
        </w:rPr>
        <w:t xml:space="preserve">conclusion of various MRAs. </w:t>
      </w:r>
      <w:r w:rsidR="00EC6F18">
        <w:rPr>
          <w:rFonts w:ascii="Calibri" w:hAnsi="Calibri" w:cs="Times New Roman"/>
          <w:lang w:val="en-US"/>
        </w:rPr>
        <w:t>T</w:t>
      </w:r>
      <w:r w:rsidR="00B71F7C" w:rsidRPr="001215B9">
        <w:rPr>
          <w:rFonts w:ascii="Calibri" w:hAnsi="Calibri" w:cs="Times New Roman"/>
          <w:lang w:val="en-US"/>
        </w:rPr>
        <w:t xml:space="preserve">here are also considerable obstacles that </w:t>
      </w:r>
      <w:r w:rsidR="009A3431" w:rsidRPr="001215B9">
        <w:rPr>
          <w:rFonts w:ascii="Calibri" w:hAnsi="Calibri" w:cs="Times New Roman"/>
          <w:lang w:val="en-US"/>
        </w:rPr>
        <w:t xml:space="preserve">still </w:t>
      </w:r>
      <w:r w:rsidR="00B71F7C" w:rsidRPr="001215B9">
        <w:rPr>
          <w:rFonts w:ascii="Calibri" w:hAnsi="Calibri" w:cs="Times New Roman"/>
          <w:lang w:val="en-US"/>
        </w:rPr>
        <w:t xml:space="preserve">need to be </w:t>
      </w:r>
      <w:r w:rsidR="00E42778" w:rsidRPr="001215B9">
        <w:rPr>
          <w:rFonts w:ascii="Calibri" w:hAnsi="Calibri" w:cs="Times New Roman"/>
          <w:lang w:val="en-US"/>
        </w:rPr>
        <w:t>overcome</w:t>
      </w:r>
      <w:r w:rsidR="00B71F7C" w:rsidRPr="001215B9">
        <w:rPr>
          <w:rFonts w:ascii="Calibri" w:hAnsi="Calibri" w:cs="Times New Roman"/>
          <w:lang w:val="en-US"/>
        </w:rPr>
        <w:t xml:space="preserve"> in order to achieve </w:t>
      </w:r>
      <w:r w:rsidR="009A3431" w:rsidRPr="001215B9">
        <w:rPr>
          <w:rFonts w:ascii="Calibri" w:hAnsi="Calibri" w:cs="Times New Roman"/>
          <w:lang w:val="en-US"/>
        </w:rPr>
        <w:t>greater</w:t>
      </w:r>
      <w:r w:rsidR="00E078B1">
        <w:rPr>
          <w:rFonts w:ascii="Calibri" w:hAnsi="Calibri" w:cs="Times New Roman"/>
          <w:lang w:val="en-US"/>
        </w:rPr>
        <w:t xml:space="preserve"> </w:t>
      </w:r>
      <w:r w:rsidR="001112FB">
        <w:rPr>
          <w:rFonts w:ascii="Calibri" w:hAnsi="Calibri" w:cs="Times New Roman"/>
          <w:lang w:val="en-US"/>
        </w:rPr>
        <w:t xml:space="preserve">regional </w:t>
      </w:r>
      <w:r w:rsidR="009A3431" w:rsidRPr="001215B9">
        <w:rPr>
          <w:rFonts w:ascii="Calibri" w:hAnsi="Calibri" w:cs="Times New Roman"/>
          <w:lang w:val="en-US"/>
        </w:rPr>
        <w:t>mobility</w:t>
      </w:r>
      <w:r w:rsidR="00B71F7C" w:rsidRPr="001215B9">
        <w:rPr>
          <w:rFonts w:ascii="Calibri" w:hAnsi="Calibri" w:cs="Times New Roman"/>
          <w:lang w:val="en-US"/>
        </w:rPr>
        <w:t xml:space="preserve">. </w:t>
      </w:r>
      <w:r w:rsidR="00E42778" w:rsidRPr="001215B9">
        <w:rPr>
          <w:rFonts w:ascii="Calibri" w:hAnsi="Calibri" w:cs="Times New Roman"/>
          <w:lang w:val="en-US"/>
        </w:rPr>
        <w:t>Commitments undertaken by members so</w:t>
      </w:r>
      <w:r w:rsidR="00EF7913">
        <w:rPr>
          <w:rFonts w:ascii="Calibri" w:hAnsi="Calibri" w:cs="Times New Roman"/>
          <w:lang w:val="en-US"/>
        </w:rPr>
        <w:t xml:space="preserve"> </w:t>
      </w:r>
      <w:r w:rsidR="00E42778" w:rsidRPr="001215B9">
        <w:rPr>
          <w:rFonts w:ascii="Calibri" w:hAnsi="Calibri" w:cs="Times New Roman"/>
          <w:lang w:val="en-US"/>
        </w:rPr>
        <w:t xml:space="preserve">far have been </w:t>
      </w:r>
      <w:r w:rsidR="009065A4">
        <w:rPr>
          <w:rFonts w:ascii="Calibri" w:hAnsi="Calibri" w:cs="Times New Roman"/>
          <w:lang w:val="en-US"/>
        </w:rPr>
        <w:t>mostly</w:t>
      </w:r>
      <w:r w:rsidR="00E078B1">
        <w:rPr>
          <w:rFonts w:ascii="Calibri" w:hAnsi="Calibri" w:cs="Times New Roman"/>
          <w:lang w:val="en-US"/>
        </w:rPr>
        <w:t xml:space="preserve"> </w:t>
      </w:r>
      <w:r w:rsidR="007F5F2F">
        <w:rPr>
          <w:rFonts w:ascii="Calibri" w:hAnsi="Calibri" w:cs="Times New Roman"/>
          <w:lang w:val="en-US"/>
        </w:rPr>
        <w:t>attached</w:t>
      </w:r>
      <w:r w:rsidR="00E42778" w:rsidRPr="001215B9">
        <w:rPr>
          <w:rFonts w:ascii="Calibri" w:hAnsi="Calibri" w:cs="Times New Roman"/>
          <w:lang w:val="en-US"/>
        </w:rPr>
        <w:t xml:space="preserve"> to investment and commercial </w:t>
      </w:r>
      <w:r w:rsidR="007F5F2F">
        <w:rPr>
          <w:rFonts w:ascii="Calibri" w:hAnsi="Calibri" w:cs="Times New Roman"/>
          <w:lang w:val="en-US"/>
        </w:rPr>
        <w:t>establishment</w:t>
      </w:r>
      <w:r w:rsidR="00E42778" w:rsidRPr="001215B9">
        <w:rPr>
          <w:rFonts w:ascii="Calibri" w:hAnsi="Calibri" w:cs="Times New Roman"/>
          <w:lang w:val="en-US"/>
        </w:rPr>
        <w:t xml:space="preserve">. In various instances </w:t>
      </w:r>
      <w:r w:rsidR="00060757" w:rsidRPr="001215B9">
        <w:rPr>
          <w:rFonts w:ascii="Calibri" w:hAnsi="Calibri" w:cs="Times New Roman"/>
          <w:lang w:val="en-US"/>
        </w:rPr>
        <w:t xml:space="preserve">ENTs or numerical quotas </w:t>
      </w:r>
      <w:r w:rsidR="00E42778" w:rsidRPr="001215B9">
        <w:rPr>
          <w:rFonts w:ascii="Calibri" w:hAnsi="Calibri" w:cs="Times New Roman"/>
          <w:lang w:val="en-US"/>
        </w:rPr>
        <w:t>restrict mobility of professionals and d</w:t>
      </w:r>
      <w:r w:rsidR="00B71F7C" w:rsidRPr="001215B9">
        <w:rPr>
          <w:rFonts w:ascii="Calibri" w:hAnsi="Calibri" w:cs="Times New Roman"/>
          <w:lang w:val="en-US"/>
        </w:rPr>
        <w:t>omestic regulations prevail when it comes to accreditation</w:t>
      </w:r>
      <w:r w:rsidR="00E42778" w:rsidRPr="001215B9">
        <w:rPr>
          <w:rFonts w:ascii="Calibri" w:hAnsi="Calibri" w:cs="Times New Roman"/>
          <w:lang w:val="en-US"/>
        </w:rPr>
        <w:t>.</w:t>
      </w:r>
      <w:r w:rsidR="006020A2" w:rsidRPr="001215B9">
        <w:rPr>
          <w:rFonts w:ascii="Calibri" w:hAnsi="Calibri" w:cs="Times New Roman"/>
          <w:lang w:val="en-US"/>
        </w:rPr>
        <w:t xml:space="preserve"> Reasons for this are </w:t>
      </w:r>
      <w:r w:rsidR="000D6695" w:rsidRPr="001215B9">
        <w:rPr>
          <w:rFonts w:ascii="Calibri" w:hAnsi="Calibri" w:cs="Times New Roman"/>
          <w:lang w:val="en-US"/>
        </w:rPr>
        <w:t xml:space="preserve">often </w:t>
      </w:r>
      <w:r w:rsidR="006020A2" w:rsidRPr="001215B9">
        <w:rPr>
          <w:rFonts w:ascii="Calibri" w:hAnsi="Calibri" w:cs="Times New Roman"/>
          <w:lang w:val="en-US"/>
        </w:rPr>
        <w:t>associated with regulatory heterogeneity across countries in the region, problematic institutional capacity,</w:t>
      </w:r>
      <w:r w:rsidR="00E078B1">
        <w:rPr>
          <w:rFonts w:ascii="Calibri" w:hAnsi="Calibri" w:cs="Times New Roman"/>
          <w:lang w:val="en-US"/>
        </w:rPr>
        <w:t xml:space="preserve"> </w:t>
      </w:r>
      <w:r w:rsidR="000D6695" w:rsidRPr="001215B9">
        <w:rPr>
          <w:rFonts w:ascii="Calibri" w:hAnsi="Calibri" w:cs="Times New Roman"/>
          <w:lang w:val="en-US"/>
        </w:rPr>
        <w:t xml:space="preserve">and lack of enforcement mechanism, to which adds </w:t>
      </w:r>
      <w:r w:rsidR="00DF788E" w:rsidRPr="001215B9">
        <w:rPr>
          <w:rFonts w:ascii="Calibri" w:hAnsi="Calibri" w:cs="Times New Roman"/>
          <w:lang w:val="en-US"/>
        </w:rPr>
        <w:t xml:space="preserve">an overall </w:t>
      </w:r>
      <w:r w:rsidR="00537332">
        <w:rPr>
          <w:rFonts w:ascii="Calibri" w:hAnsi="Calibri" w:cs="Times New Roman"/>
          <w:lang w:val="en-US"/>
        </w:rPr>
        <w:t>mist</w:t>
      </w:r>
      <w:r w:rsidR="00537332" w:rsidRPr="001215B9">
        <w:rPr>
          <w:rFonts w:ascii="Calibri" w:hAnsi="Calibri" w:cs="Times New Roman"/>
          <w:lang w:val="en-US"/>
        </w:rPr>
        <w:t>rust</w:t>
      </w:r>
      <w:r w:rsidR="00DF788E" w:rsidRPr="001215B9">
        <w:rPr>
          <w:rFonts w:ascii="Calibri" w:hAnsi="Calibri" w:cs="Times New Roman"/>
          <w:lang w:val="en-US"/>
        </w:rPr>
        <w:t xml:space="preserve"> and apprehension of member states in </w:t>
      </w:r>
      <w:r w:rsidR="000D6695" w:rsidRPr="001215B9">
        <w:rPr>
          <w:rFonts w:ascii="Calibri" w:hAnsi="Calibri" w:cs="Times New Roman"/>
          <w:lang w:val="en-US"/>
        </w:rPr>
        <w:t xml:space="preserve">taking </w:t>
      </w:r>
      <w:r w:rsidR="00372119" w:rsidRPr="001215B9">
        <w:rPr>
          <w:rFonts w:ascii="Calibri" w:hAnsi="Calibri" w:cs="Times New Roman"/>
          <w:lang w:val="en-US"/>
        </w:rPr>
        <w:t>comprehensive</w:t>
      </w:r>
      <w:r w:rsidR="00DF788E" w:rsidRPr="001215B9">
        <w:rPr>
          <w:rFonts w:ascii="Calibri" w:hAnsi="Calibri" w:cs="Times New Roman"/>
          <w:lang w:val="en-US"/>
        </w:rPr>
        <w:t xml:space="preserve"> binding commitments (</w:t>
      </w:r>
      <w:r w:rsidR="00DF788E" w:rsidRPr="00891FDB">
        <w:rPr>
          <w:rFonts w:ascii="Calibri" w:hAnsi="Calibri" w:cs="Times New Roman"/>
          <w:lang w:val="en-US"/>
        </w:rPr>
        <w:t>Interview</w:t>
      </w:r>
      <w:r w:rsidR="00A82BBA">
        <w:rPr>
          <w:rFonts w:ascii="Calibri" w:hAnsi="Calibri" w:cs="Times New Roman"/>
          <w:lang w:val="en-US"/>
        </w:rPr>
        <w:t>s</w:t>
      </w:r>
      <w:r w:rsidR="00DF788E" w:rsidRPr="00A82BBA">
        <w:rPr>
          <w:rFonts w:ascii="Calibri" w:hAnsi="Calibri" w:cs="Times New Roman"/>
          <w:lang w:val="en-US"/>
        </w:rPr>
        <w:t xml:space="preserve"> </w:t>
      </w:r>
      <w:r w:rsidR="00502D99">
        <w:rPr>
          <w:rFonts w:ascii="Calibri" w:hAnsi="Calibri" w:cs="Times New Roman"/>
          <w:lang w:val="en-US"/>
        </w:rPr>
        <w:t>7, 1</w:t>
      </w:r>
      <w:r w:rsidR="00D653A9">
        <w:rPr>
          <w:rFonts w:ascii="Calibri" w:hAnsi="Calibri" w:cs="Times New Roman"/>
          <w:lang w:val="en-US"/>
        </w:rPr>
        <w:t>6</w:t>
      </w:r>
      <w:r w:rsidR="00DF788E" w:rsidRPr="001215B9">
        <w:rPr>
          <w:rFonts w:ascii="Calibri" w:hAnsi="Calibri" w:cs="Times New Roman"/>
          <w:lang w:val="en-US"/>
        </w:rPr>
        <w:t>).</w:t>
      </w:r>
      <w:r w:rsidR="00372119" w:rsidRPr="001215B9">
        <w:rPr>
          <w:rFonts w:ascii="Calibri" w:hAnsi="Calibri" w:cs="Times New Roman"/>
          <w:lang w:val="en-US"/>
        </w:rPr>
        <w:t xml:space="preserve"> In contrast, much more has been achieved extra-regionally. Various bilateral FTAs have broader and deeper chapters on mobility of natural people, facilitating the movement of </w:t>
      </w:r>
      <w:r w:rsidR="00B34866" w:rsidRPr="001215B9">
        <w:rPr>
          <w:rFonts w:ascii="Calibri" w:hAnsi="Calibri" w:cs="Times New Roman"/>
          <w:lang w:val="en-US"/>
        </w:rPr>
        <w:t xml:space="preserve">labour at different skill levels and also detached from </w:t>
      </w:r>
      <w:r w:rsidR="009A6BAA" w:rsidRPr="001215B9">
        <w:rPr>
          <w:rFonts w:ascii="Calibri" w:hAnsi="Calibri" w:cs="Times New Roman"/>
          <w:lang w:val="en-US"/>
        </w:rPr>
        <w:t xml:space="preserve">investment/commercial establishment. </w:t>
      </w:r>
    </w:p>
    <w:p w14:paraId="707B20CF" w14:textId="77777777" w:rsidR="00882D6B" w:rsidRPr="001215B9" w:rsidRDefault="00882D6B" w:rsidP="001215B9">
      <w:pPr>
        <w:spacing w:after="120" w:line="360" w:lineRule="auto"/>
        <w:jc w:val="both"/>
        <w:rPr>
          <w:rFonts w:ascii="Calibri" w:hAnsi="Calibri" w:cs="Times New Roman"/>
          <w:b/>
          <w:lang w:val="en-US"/>
        </w:rPr>
      </w:pPr>
    </w:p>
    <w:p w14:paraId="3EA68B8D" w14:textId="77777777" w:rsidR="009D23BF" w:rsidRPr="001215B9" w:rsidRDefault="009D23BF" w:rsidP="001215B9">
      <w:pPr>
        <w:spacing w:after="120" w:line="360" w:lineRule="auto"/>
        <w:jc w:val="both"/>
        <w:rPr>
          <w:rFonts w:ascii="Calibri" w:hAnsi="Calibri" w:cs="Times New Roman"/>
          <w:lang w:val="en-US"/>
        </w:rPr>
      </w:pPr>
    </w:p>
    <w:p w14:paraId="16447EDC" w14:textId="77777777" w:rsidR="00662AC2" w:rsidRPr="001215B9" w:rsidRDefault="00615361" w:rsidP="001215B9">
      <w:pPr>
        <w:spacing w:after="120" w:line="360" w:lineRule="auto"/>
        <w:jc w:val="both"/>
        <w:rPr>
          <w:rFonts w:ascii="Calibri" w:hAnsi="Calibri" w:cs="Times New Roman"/>
          <w:b/>
          <w:lang w:val="en-US"/>
        </w:rPr>
      </w:pPr>
      <w:r>
        <w:rPr>
          <w:rFonts w:ascii="Calibri" w:hAnsi="Calibri" w:cs="Times New Roman"/>
          <w:b/>
          <w:lang w:val="en-US"/>
        </w:rPr>
        <w:br w:type="column"/>
      </w:r>
      <w:r w:rsidR="00662AC2" w:rsidRPr="001215B9">
        <w:rPr>
          <w:rFonts w:ascii="Calibri" w:hAnsi="Calibri" w:cs="Times New Roman"/>
          <w:b/>
          <w:lang w:val="en-US"/>
        </w:rPr>
        <w:lastRenderedPageBreak/>
        <w:t>Conclusion</w:t>
      </w:r>
    </w:p>
    <w:p w14:paraId="5CC38135" w14:textId="7050292F" w:rsidR="00FB6EB7" w:rsidRDefault="00FB6EB7" w:rsidP="001215B9">
      <w:pPr>
        <w:spacing w:after="120" w:line="360" w:lineRule="auto"/>
        <w:jc w:val="both"/>
        <w:rPr>
          <w:rFonts w:ascii="Calibri" w:hAnsi="Calibri" w:cs="Times New Roman"/>
          <w:lang w:val="en-US"/>
        </w:rPr>
      </w:pPr>
      <w:r>
        <w:rPr>
          <w:rFonts w:ascii="Calibri" w:hAnsi="Calibri" w:cs="Times New Roman"/>
          <w:lang w:val="en-US"/>
        </w:rPr>
        <w:t xml:space="preserve">At the same time </w:t>
      </w:r>
      <w:r w:rsidR="00EF7913">
        <w:rPr>
          <w:rFonts w:ascii="Calibri" w:hAnsi="Calibri" w:cs="Times New Roman"/>
          <w:lang w:val="en-US"/>
        </w:rPr>
        <w:t>as W</w:t>
      </w:r>
      <w:r>
        <w:rPr>
          <w:rFonts w:ascii="Calibri" w:hAnsi="Calibri" w:cs="Times New Roman"/>
          <w:lang w:val="en-US"/>
        </w:rPr>
        <w:t xml:space="preserve">estern countries have restricted their immigration policies, </w:t>
      </w:r>
      <w:r w:rsidR="008623B7">
        <w:rPr>
          <w:rFonts w:ascii="Calibri" w:hAnsi="Calibri" w:cs="Times New Roman"/>
          <w:lang w:val="en-US"/>
        </w:rPr>
        <w:t>fiercely</w:t>
      </w:r>
      <w:r>
        <w:rPr>
          <w:rFonts w:ascii="Calibri" w:hAnsi="Calibri" w:cs="Times New Roman"/>
          <w:lang w:val="en-US"/>
        </w:rPr>
        <w:t xml:space="preserve"> safeguarding their prerogatives over this "last bastion of state sovereignty" (Dauvergne 2014: 92), they have engaged in a hither</w:t>
      </w:r>
      <w:r w:rsidR="008623B7">
        <w:rPr>
          <w:rFonts w:ascii="Calibri" w:hAnsi="Calibri" w:cs="Times New Roman"/>
          <w:lang w:val="en-US"/>
        </w:rPr>
        <w:t>to little investigated liberalis</w:t>
      </w:r>
      <w:r>
        <w:rPr>
          <w:rFonts w:ascii="Calibri" w:hAnsi="Calibri" w:cs="Times New Roman"/>
          <w:lang w:val="en-US"/>
        </w:rPr>
        <w:t xml:space="preserve">ation </w:t>
      </w:r>
      <w:r w:rsidR="006A5350">
        <w:rPr>
          <w:rFonts w:ascii="Calibri" w:hAnsi="Calibri" w:cs="Times New Roman"/>
          <w:lang w:val="en-US"/>
        </w:rPr>
        <w:t>of</w:t>
      </w:r>
      <w:r>
        <w:rPr>
          <w:rFonts w:ascii="Calibri" w:hAnsi="Calibri" w:cs="Times New Roman"/>
          <w:lang w:val="en-US"/>
        </w:rPr>
        <w:t xml:space="preserve"> trade-related mobility flows. Originally limited to highly skilled professional working within multinati</w:t>
      </w:r>
      <w:r w:rsidR="00D777D1">
        <w:rPr>
          <w:rFonts w:ascii="Calibri" w:hAnsi="Calibri" w:cs="Times New Roman"/>
          <w:lang w:val="en-US"/>
        </w:rPr>
        <w:t>onal enterprises, this liberalis</w:t>
      </w:r>
      <w:r>
        <w:rPr>
          <w:rFonts w:ascii="Calibri" w:hAnsi="Calibri" w:cs="Times New Roman"/>
          <w:lang w:val="en-US"/>
        </w:rPr>
        <w:t xml:space="preserve">ation has gradually moved beyond </w:t>
      </w:r>
      <w:r w:rsidR="00E025E8">
        <w:rPr>
          <w:rFonts w:ascii="Calibri" w:hAnsi="Calibri" w:cs="Times New Roman"/>
          <w:lang w:val="en-US"/>
        </w:rPr>
        <w:t xml:space="preserve">flows linked to commercial presence and has reached out to </w:t>
      </w:r>
      <w:r w:rsidR="006A5350">
        <w:rPr>
          <w:rFonts w:ascii="Calibri" w:hAnsi="Calibri" w:cs="Times New Roman"/>
          <w:lang w:val="en-US"/>
        </w:rPr>
        <w:t xml:space="preserve">other </w:t>
      </w:r>
      <w:r w:rsidR="00E025E8">
        <w:rPr>
          <w:rFonts w:ascii="Calibri" w:hAnsi="Calibri" w:cs="Times New Roman"/>
          <w:lang w:val="en-US"/>
        </w:rPr>
        <w:t xml:space="preserve">professions. While multilateral progress on liberalization has been halted due to the general stalemate in the WTO but also due to the strong contention between developed and developing countries over this agenda, the review of plurilateral and bilateral free trade agreements as well as regional integration frameworks has illustrated an incremental widening of agreed commitments. </w:t>
      </w:r>
    </w:p>
    <w:p w14:paraId="5340AC70" w14:textId="6FDD91E7" w:rsidR="00537C72" w:rsidRDefault="00E025E8" w:rsidP="001215B9">
      <w:pPr>
        <w:spacing w:after="120" w:line="360" w:lineRule="auto"/>
        <w:jc w:val="both"/>
        <w:rPr>
          <w:rFonts w:ascii="Calibri" w:hAnsi="Calibri" w:cs="Times New Roman"/>
          <w:lang w:val="en-US"/>
        </w:rPr>
      </w:pPr>
      <w:r>
        <w:rPr>
          <w:rFonts w:ascii="Calibri" w:hAnsi="Calibri" w:cs="Times New Roman"/>
          <w:lang w:val="en-US"/>
        </w:rPr>
        <w:t>E</w:t>
      </w:r>
      <w:r w:rsidR="00C672FA">
        <w:rPr>
          <w:rFonts w:ascii="Calibri" w:hAnsi="Calibri" w:cs="Times New Roman"/>
          <w:lang w:val="en-US"/>
        </w:rPr>
        <w:t>ven though</w:t>
      </w:r>
      <w:r w:rsidR="00265B54">
        <w:rPr>
          <w:rFonts w:ascii="Calibri" w:hAnsi="Calibri" w:cs="Times New Roman"/>
          <w:lang w:val="en-US"/>
        </w:rPr>
        <w:t xml:space="preserve"> the</w:t>
      </w:r>
      <w:r w:rsidR="006D5C0A" w:rsidRPr="001215B9">
        <w:rPr>
          <w:rFonts w:ascii="Calibri" w:hAnsi="Calibri" w:cs="Times New Roman"/>
          <w:lang w:val="en-US"/>
        </w:rPr>
        <w:t xml:space="preserve"> trade-migration nexus</w:t>
      </w:r>
      <w:r w:rsidR="00E078B1">
        <w:rPr>
          <w:rFonts w:ascii="Calibri" w:hAnsi="Calibri" w:cs="Times New Roman"/>
          <w:lang w:val="en-US"/>
        </w:rPr>
        <w:t xml:space="preserve"> </w:t>
      </w:r>
      <w:r>
        <w:rPr>
          <w:rFonts w:ascii="Calibri" w:hAnsi="Calibri" w:cs="Times New Roman"/>
          <w:lang w:val="en-US"/>
        </w:rPr>
        <w:t xml:space="preserve">continues to </w:t>
      </w:r>
      <w:r w:rsidR="00D86788" w:rsidRPr="001215B9">
        <w:rPr>
          <w:rFonts w:ascii="Calibri" w:hAnsi="Calibri" w:cs="Times New Roman"/>
          <w:lang w:val="en-US"/>
        </w:rPr>
        <w:t>show</w:t>
      </w:r>
      <w:r w:rsidR="00E078B1">
        <w:rPr>
          <w:rFonts w:ascii="Calibri" w:hAnsi="Calibri" w:cs="Times New Roman"/>
          <w:lang w:val="en-US"/>
        </w:rPr>
        <w:t xml:space="preserve"> </w:t>
      </w:r>
      <w:r w:rsidR="00404130" w:rsidRPr="001215B9">
        <w:rPr>
          <w:rFonts w:ascii="Calibri" w:hAnsi="Calibri" w:cs="Times New Roman"/>
          <w:lang w:val="en-US"/>
        </w:rPr>
        <w:t>a propensity</w:t>
      </w:r>
      <w:r w:rsidR="00E078B1">
        <w:rPr>
          <w:rFonts w:ascii="Calibri" w:hAnsi="Calibri" w:cs="Times New Roman"/>
          <w:lang w:val="en-US"/>
        </w:rPr>
        <w:t xml:space="preserve"> </w:t>
      </w:r>
      <w:r w:rsidR="00404130" w:rsidRPr="001215B9">
        <w:rPr>
          <w:rFonts w:ascii="Calibri" w:hAnsi="Calibri" w:cs="Times New Roman"/>
          <w:lang w:val="en-US"/>
        </w:rPr>
        <w:t xml:space="preserve">for </w:t>
      </w:r>
      <w:r w:rsidR="006D5C0A" w:rsidRPr="001215B9">
        <w:rPr>
          <w:rFonts w:ascii="Calibri" w:hAnsi="Calibri" w:cs="Times New Roman"/>
          <w:lang w:val="en-US"/>
        </w:rPr>
        <w:t xml:space="preserve">skilled </w:t>
      </w:r>
      <w:r w:rsidR="00FD3FA2">
        <w:rPr>
          <w:rFonts w:ascii="Calibri" w:hAnsi="Calibri" w:cs="Times New Roman"/>
          <w:lang w:val="en-US"/>
        </w:rPr>
        <w:t>flows</w:t>
      </w:r>
      <w:r w:rsidR="006D5C0A" w:rsidRPr="001215B9">
        <w:rPr>
          <w:rFonts w:ascii="Calibri" w:hAnsi="Calibri" w:cs="Times New Roman"/>
          <w:lang w:val="en-US"/>
        </w:rPr>
        <w:t>,</w:t>
      </w:r>
      <w:r w:rsidR="00E078B1">
        <w:rPr>
          <w:rFonts w:ascii="Calibri" w:hAnsi="Calibri" w:cs="Times New Roman"/>
          <w:lang w:val="en-US"/>
        </w:rPr>
        <w:t xml:space="preserve"> </w:t>
      </w:r>
      <w:r w:rsidR="00C672FA">
        <w:rPr>
          <w:rFonts w:ascii="Calibri" w:hAnsi="Calibri" w:cs="Times New Roman"/>
          <w:lang w:val="en-US"/>
        </w:rPr>
        <w:t>it</w:t>
      </w:r>
      <w:r w:rsidR="00110129">
        <w:rPr>
          <w:rFonts w:ascii="Calibri" w:hAnsi="Calibri" w:cs="Times New Roman"/>
          <w:lang w:val="en-US"/>
        </w:rPr>
        <w:t xml:space="preserve"> is</w:t>
      </w:r>
      <w:r w:rsidR="006A5350">
        <w:rPr>
          <w:rFonts w:ascii="Calibri" w:hAnsi="Calibri" w:cs="Times New Roman"/>
          <w:lang w:val="en-US"/>
        </w:rPr>
        <w:t xml:space="preserve"> </w:t>
      </w:r>
      <w:r w:rsidR="00D86788" w:rsidRPr="001215B9">
        <w:rPr>
          <w:rFonts w:ascii="Calibri" w:hAnsi="Calibri" w:cs="Times New Roman"/>
          <w:lang w:val="en-US"/>
        </w:rPr>
        <w:t xml:space="preserve">not to deny the liberalization achieved for </w:t>
      </w:r>
      <w:r w:rsidR="006A5350">
        <w:rPr>
          <w:rFonts w:ascii="Calibri" w:hAnsi="Calibri" w:cs="Times New Roman"/>
          <w:lang w:val="en-US"/>
        </w:rPr>
        <w:t>independent professionals,</w:t>
      </w:r>
      <w:r w:rsidR="00D777D1">
        <w:rPr>
          <w:rFonts w:ascii="Calibri" w:hAnsi="Calibri" w:cs="Times New Roman"/>
          <w:lang w:val="en-US"/>
        </w:rPr>
        <w:t xml:space="preserve"> contractual service providers, as well as the commitments taken towards social rights, visa facilitations and working entitlements in some agreements</w:t>
      </w:r>
      <w:r w:rsidR="00F139DA">
        <w:rPr>
          <w:rFonts w:ascii="Calibri" w:hAnsi="Calibri" w:cs="Times New Roman"/>
          <w:lang w:val="en-US"/>
        </w:rPr>
        <w:t xml:space="preserve"> </w:t>
      </w:r>
      <w:r w:rsidR="00F139DA" w:rsidRPr="001215B9">
        <w:rPr>
          <w:rFonts w:ascii="Calibri" w:hAnsi="Calibri" w:cs="Times New Roman"/>
          <w:lang w:val="en-US"/>
        </w:rPr>
        <w:t>p</w:t>
      </w:r>
      <w:r w:rsidR="00F139DA">
        <w:rPr>
          <w:rFonts w:ascii="Calibri" w:hAnsi="Calibri" w:cs="Times New Roman"/>
          <w:lang w:val="en-US"/>
        </w:rPr>
        <w:t>romoted by developing countries</w:t>
      </w:r>
      <w:r w:rsidR="00836467" w:rsidRPr="001215B9">
        <w:rPr>
          <w:rFonts w:ascii="Calibri" w:hAnsi="Calibri" w:cs="Times New Roman"/>
          <w:lang w:val="en-US"/>
        </w:rPr>
        <w:t xml:space="preserve"> that would have otherwise probably not enter</w:t>
      </w:r>
      <w:r w:rsidR="007827AB">
        <w:rPr>
          <w:rFonts w:ascii="Calibri" w:hAnsi="Calibri" w:cs="Times New Roman"/>
          <w:lang w:val="en-US"/>
        </w:rPr>
        <w:t>ed</w:t>
      </w:r>
      <w:r w:rsidR="00836467" w:rsidRPr="001215B9">
        <w:rPr>
          <w:rFonts w:ascii="Calibri" w:hAnsi="Calibri" w:cs="Times New Roman"/>
          <w:lang w:val="en-US"/>
        </w:rPr>
        <w:t xml:space="preserve"> the trade venue</w:t>
      </w:r>
      <w:r w:rsidR="002450FB" w:rsidRPr="001215B9">
        <w:rPr>
          <w:rFonts w:ascii="Calibri" w:hAnsi="Calibri" w:cs="Times New Roman"/>
          <w:lang w:val="en-US"/>
        </w:rPr>
        <w:t xml:space="preserve">. </w:t>
      </w:r>
      <w:r>
        <w:rPr>
          <w:rFonts w:ascii="Calibri" w:hAnsi="Calibri" w:cs="Times New Roman"/>
          <w:lang w:val="en-US"/>
        </w:rPr>
        <w:t>The growing importance of the service sector in the global economy is likely to sustain this nexus between trade and migration policies. At the same time</w:t>
      </w:r>
      <w:r w:rsidR="006A5350">
        <w:rPr>
          <w:rFonts w:ascii="Calibri" w:hAnsi="Calibri" w:cs="Times New Roman"/>
          <w:lang w:val="en-US"/>
        </w:rPr>
        <w:t>,</w:t>
      </w:r>
      <w:r>
        <w:rPr>
          <w:rFonts w:ascii="Calibri" w:hAnsi="Calibri" w:cs="Times New Roman"/>
          <w:lang w:val="en-US"/>
        </w:rPr>
        <w:t xml:space="preserve"> however, the intervention by Congress in the US and the difficulties encountered by the EU to engage in international negotiations touching on migration also indicate the political sensitivity of this linkage. </w:t>
      </w:r>
      <w:r w:rsidR="00D96FF7">
        <w:rPr>
          <w:rFonts w:ascii="Calibri" w:hAnsi="Calibri" w:cs="Times New Roman"/>
          <w:lang w:val="en-US"/>
        </w:rPr>
        <w:t xml:space="preserve">While a functional </w:t>
      </w:r>
      <w:r w:rsidR="008B698F">
        <w:rPr>
          <w:rFonts w:ascii="Calibri" w:hAnsi="Calibri" w:cs="Times New Roman"/>
          <w:lang w:val="en-US"/>
        </w:rPr>
        <w:t xml:space="preserve">economic </w:t>
      </w:r>
      <w:r w:rsidR="00D96FF7">
        <w:rPr>
          <w:rFonts w:ascii="Calibri" w:hAnsi="Calibri" w:cs="Times New Roman"/>
          <w:lang w:val="en-US"/>
        </w:rPr>
        <w:t xml:space="preserve">pressure for tackling also the factor "labour" in trade liberalization is thus likely to persist, it is questionable how far - under the impression of deeply politicized publics in western countries - immigration ministers will tolerate a further </w:t>
      </w:r>
      <w:r w:rsidR="006A5350">
        <w:rPr>
          <w:rFonts w:ascii="Calibri" w:hAnsi="Calibri" w:cs="Times New Roman"/>
          <w:lang w:val="en-US"/>
        </w:rPr>
        <w:t xml:space="preserve">use </w:t>
      </w:r>
      <w:r w:rsidR="00D96FF7">
        <w:rPr>
          <w:rFonts w:ascii="Calibri" w:hAnsi="Calibri" w:cs="Times New Roman"/>
          <w:lang w:val="en-US"/>
        </w:rPr>
        <w:t xml:space="preserve">of the trade venue </w:t>
      </w:r>
      <w:r w:rsidR="006A5350">
        <w:rPr>
          <w:rFonts w:ascii="Calibri" w:hAnsi="Calibri" w:cs="Times New Roman"/>
          <w:lang w:val="en-US"/>
        </w:rPr>
        <w:t>for</w:t>
      </w:r>
      <w:r w:rsidR="00D96FF7">
        <w:rPr>
          <w:rFonts w:ascii="Calibri" w:hAnsi="Calibri" w:cs="Times New Roman"/>
          <w:lang w:val="en-US"/>
        </w:rPr>
        <w:t xml:space="preserve"> facilitating migration flows. </w:t>
      </w:r>
      <w:r w:rsidR="001E0D86">
        <w:rPr>
          <w:rFonts w:ascii="Calibri" w:hAnsi="Calibri" w:cs="Times New Roman"/>
          <w:lang w:val="en-US"/>
        </w:rPr>
        <w:t xml:space="preserve"> </w:t>
      </w:r>
    </w:p>
    <w:p w14:paraId="73242AE3" w14:textId="77777777" w:rsidR="00F66E6F" w:rsidRPr="001215B9" w:rsidRDefault="00F66E6F" w:rsidP="001215B9">
      <w:pPr>
        <w:spacing w:after="120" w:line="360" w:lineRule="auto"/>
        <w:jc w:val="both"/>
        <w:rPr>
          <w:rFonts w:ascii="Calibri" w:hAnsi="Calibri" w:cs="Times New Roman"/>
          <w:lang w:val="en-US"/>
        </w:rPr>
      </w:pPr>
    </w:p>
    <w:p w14:paraId="4D8E3D60" w14:textId="77777777" w:rsidR="00662AC2" w:rsidRPr="00C46ED3" w:rsidRDefault="00D96FF7" w:rsidP="001215B9">
      <w:pPr>
        <w:spacing w:after="120" w:line="360" w:lineRule="auto"/>
        <w:jc w:val="both"/>
        <w:rPr>
          <w:rFonts w:ascii="Calibri" w:hAnsi="Calibri"/>
          <w:b/>
          <w:lang w:val="en-US"/>
        </w:rPr>
      </w:pPr>
      <w:r>
        <w:rPr>
          <w:rFonts w:ascii="Calibri" w:hAnsi="Calibri"/>
          <w:lang w:val="en-US"/>
        </w:rPr>
        <w:br w:type="column"/>
      </w:r>
      <w:r w:rsidRPr="00C46ED3">
        <w:rPr>
          <w:rFonts w:ascii="Calibri" w:hAnsi="Calibri"/>
          <w:b/>
          <w:lang w:val="en-US"/>
        </w:rPr>
        <w:lastRenderedPageBreak/>
        <w:t>References</w:t>
      </w:r>
    </w:p>
    <w:p w14:paraId="6D2C8A41" w14:textId="37CB77B3" w:rsidR="00DF6A8D" w:rsidRPr="00DF6A8D" w:rsidRDefault="00DF6A8D" w:rsidP="00DF6A8D">
      <w:pPr>
        <w:spacing w:after="0" w:line="480" w:lineRule="auto"/>
        <w:ind w:left="709" w:hanging="709"/>
        <w:jc w:val="both"/>
        <w:rPr>
          <w:spacing w:val="-1"/>
          <w:lang w:val="en-US"/>
        </w:rPr>
      </w:pPr>
      <w:r w:rsidRPr="00DF6A8D">
        <w:rPr>
          <w:spacing w:val="-1"/>
          <w:lang w:val="en-US"/>
        </w:rPr>
        <w:t xml:space="preserve">ASEAN Secretariat (2008), </w:t>
      </w:r>
      <w:r w:rsidRPr="00DF6A8D">
        <w:rPr>
          <w:i/>
          <w:iCs/>
          <w:spacing w:val="-1"/>
          <w:lang w:val="en-US"/>
        </w:rPr>
        <w:t>ASEAN Economic Community Blueprint</w:t>
      </w:r>
      <w:r>
        <w:rPr>
          <w:spacing w:val="-1"/>
          <w:lang w:val="en-US"/>
        </w:rPr>
        <w:t>. Jakarta: ASEAN Secretariat</w:t>
      </w:r>
      <w:r w:rsidRPr="00DF6A8D">
        <w:rPr>
          <w:spacing w:val="-1"/>
          <w:lang w:val="en-US"/>
        </w:rPr>
        <w:t xml:space="preserve"> </w:t>
      </w:r>
      <w:r>
        <w:rPr>
          <w:spacing w:val="-1"/>
          <w:lang w:val="en-US"/>
        </w:rPr>
        <w:t>(</w:t>
      </w:r>
      <w:r w:rsidRPr="00DF6A8D">
        <w:rPr>
          <w:spacing w:val="-1"/>
          <w:lang w:val="en-US"/>
        </w:rPr>
        <w:t xml:space="preserve">Available at: </w:t>
      </w:r>
      <w:hyperlink r:id="rId12" w:history="1">
        <w:r w:rsidRPr="00DF6A8D">
          <w:rPr>
            <w:rStyle w:val="Hyperlink"/>
            <w:spacing w:val="-1"/>
            <w:lang w:val="en-US"/>
          </w:rPr>
          <w:t>http://www.asean.org/archive/5187-10.pdf</w:t>
        </w:r>
      </w:hyperlink>
      <w:r>
        <w:rPr>
          <w:spacing w:val="-1"/>
        </w:rPr>
        <w:t>, last accessed 22 October 2014).</w:t>
      </w:r>
      <w:r w:rsidRPr="00DF6A8D">
        <w:rPr>
          <w:spacing w:val="-1"/>
          <w:lang w:val="en-US"/>
        </w:rPr>
        <w:t xml:space="preserve"> </w:t>
      </w:r>
    </w:p>
    <w:p w14:paraId="64D56FE7" w14:textId="77777777" w:rsidR="005F1585" w:rsidRPr="00C46ED3" w:rsidRDefault="005F1585" w:rsidP="00C46ED3">
      <w:pPr>
        <w:spacing w:after="0" w:line="480" w:lineRule="auto"/>
        <w:ind w:left="709" w:hanging="709"/>
        <w:jc w:val="both"/>
        <w:rPr>
          <w:spacing w:val="-1"/>
        </w:rPr>
      </w:pPr>
      <w:r w:rsidRPr="00C46ED3">
        <w:rPr>
          <w:spacing w:val="-1"/>
        </w:rPr>
        <w:t xml:space="preserve">Betts, Alexander (ed.) 2011. </w:t>
      </w:r>
      <w:r w:rsidRPr="00C46ED3">
        <w:rPr>
          <w:i/>
          <w:spacing w:val="-1"/>
        </w:rPr>
        <w:t>Global Migration Governance</w:t>
      </w:r>
      <w:r w:rsidRPr="00C46ED3">
        <w:rPr>
          <w:spacing w:val="-1"/>
        </w:rPr>
        <w:t>, Oxford: Oxford University Press.</w:t>
      </w:r>
    </w:p>
    <w:p w14:paraId="6B32DD90" w14:textId="0D572DCE" w:rsidR="005F1585" w:rsidRPr="00C46ED3" w:rsidRDefault="005F1585" w:rsidP="00C46ED3">
      <w:pPr>
        <w:spacing w:after="0" w:line="480" w:lineRule="auto"/>
        <w:ind w:left="709" w:hanging="709"/>
        <w:jc w:val="both"/>
        <w:rPr>
          <w:spacing w:val="-1"/>
        </w:rPr>
      </w:pPr>
      <w:r w:rsidRPr="00C46ED3">
        <w:rPr>
          <w:spacing w:val="-1"/>
        </w:rPr>
        <w:t>Cerny,</w:t>
      </w:r>
      <w:r w:rsidR="004304C5">
        <w:rPr>
          <w:spacing w:val="-1"/>
        </w:rPr>
        <w:t xml:space="preserve"> </w:t>
      </w:r>
      <w:r w:rsidRPr="00C46ED3">
        <w:rPr>
          <w:spacing w:val="-1"/>
        </w:rPr>
        <w:t>Philip</w:t>
      </w:r>
      <w:r w:rsidR="004304C5">
        <w:rPr>
          <w:spacing w:val="-1"/>
        </w:rPr>
        <w:t xml:space="preserve"> </w:t>
      </w:r>
      <w:r w:rsidRPr="00C46ED3">
        <w:rPr>
          <w:spacing w:val="-1"/>
        </w:rPr>
        <w:t>G.</w:t>
      </w:r>
      <w:r w:rsidR="004304C5">
        <w:rPr>
          <w:spacing w:val="-1"/>
        </w:rPr>
        <w:t xml:space="preserve"> </w:t>
      </w:r>
      <w:r w:rsidRPr="00C46ED3">
        <w:rPr>
          <w:spacing w:val="-1"/>
        </w:rPr>
        <w:t>1994.</w:t>
      </w:r>
      <w:r w:rsidR="004304C5">
        <w:rPr>
          <w:spacing w:val="-1"/>
        </w:rPr>
        <w:t xml:space="preserve"> </w:t>
      </w:r>
      <w:r w:rsidRPr="00C46ED3">
        <w:rPr>
          <w:spacing w:val="-1"/>
        </w:rPr>
        <w:t>Globalization</w:t>
      </w:r>
      <w:r w:rsidR="004304C5">
        <w:rPr>
          <w:spacing w:val="-1"/>
        </w:rPr>
        <w:t xml:space="preserve"> </w:t>
      </w:r>
      <w:r w:rsidRPr="00C46ED3">
        <w:rPr>
          <w:spacing w:val="-1"/>
        </w:rPr>
        <w:t>and</w:t>
      </w:r>
      <w:r w:rsidR="004304C5">
        <w:rPr>
          <w:spacing w:val="-1"/>
        </w:rPr>
        <w:t xml:space="preserve"> </w:t>
      </w:r>
      <w:r w:rsidRPr="00C46ED3">
        <w:t>the</w:t>
      </w:r>
      <w:r w:rsidR="004304C5">
        <w:t xml:space="preserve"> </w:t>
      </w:r>
      <w:r w:rsidRPr="00C46ED3">
        <w:rPr>
          <w:spacing w:val="-1"/>
        </w:rPr>
        <w:t>Changing</w:t>
      </w:r>
      <w:r w:rsidR="004304C5">
        <w:rPr>
          <w:spacing w:val="-1"/>
        </w:rPr>
        <w:t xml:space="preserve"> </w:t>
      </w:r>
      <w:r w:rsidRPr="00C46ED3">
        <w:rPr>
          <w:spacing w:val="-1"/>
        </w:rPr>
        <w:t>Logic</w:t>
      </w:r>
      <w:r w:rsidR="004304C5">
        <w:rPr>
          <w:spacing w:val="-1"/>
        </w:rPr>
        <w:t xml:space="preserve"> </w:t>
      </w:r>
      <w:r w:rsidRPr="00C46ED3">
        <w:t>of</w:t>
      </w:r>
      <w:r w:rsidR="004304C5">
        <w:t xml:space="preserve"> </w:t>
      </w:r>
      <w:r w:rsidRPr="00C46ED3">
        <w:rPr>
          <w:spacing w:val="-1"/>
        </w:rPr>
        <w:t>Collective</w:t>
      </w:r>
      <w:r w:rsidR="004304C5">
        <w:rPr>
          <w:spacing w:val="-1"/>
        </w:rPr>
        <w:t xml:space="preserve"> </w:t>
      </w:r>
      <w:r w:rsidRPr="00C46ED3">
        <w:rPr>
          <w:spacing w:val="-1"/>
        </w:rPr>
        <w:t>Action.</w:t>
      </w:r>
      <w:r w:rsidR="004304C5">
        <w:rPr>
          <w:spacing w:val="-1"/>
        </w:rPr>
        <w:t xml:space="preserve"> </w:t>
      </w:r>
      <w:r w:rsidRPr="00C46ED3">
        <w:rPr>
          <w:i/>
          <w:spacing w:val="-1"/>
        </w:rPr>
        <w:t>University</w:t>
      </w:r>
      <w:r w:rsidR="004304C5">
        <w:rPr>
          <w:i/>
          <w:spacing w:val="-1"/>
        </w:rPr>
        <w:t xml:space="preserve"> </w:t>
      </w:r>
      <w:r w:rsidRPr="00C46ED3">
        <w:rPr>
          <w:i/>
        </w:rPr>
        <w:t>of</w:t>
      </w:r>
      <w:r w:rsidR="004304C5">
        <w:rPr>
          <w:i/>
        </w:rPr>
        <w:t xml:space="preserve"> </w:t>
      </w:r>
      <w:r w:rsidRPr="00C46ED3">
        <w:rPr>
          <w:i/>
        </w:rPr>
        <w:t>York,</w:t>
      </w:r>
      <w:r w:rsidR="004304C5">
        <w:rPr>
          <w:i/>
        </w:rPr>
        <w:t xml:space="preserve"> </w:t>
      </w:r>
      <w:r w:rsidRPr="00C46ED3">
        <w:rPr>
          <w:i/>
          <w:spacing w:val="-1"/>
        </w:rPr>
        <w:t>Department</w:t>
      </w:r>
      <w:r w:rsidR="004304C5">
        <w:rPr>
          <w:i/>
          <w:spacing w:val="-1"/>
        </w:rPr>
        <w:t xml:space="preserve"> </w:t>
      </w:r>
      <w:r w:rsidRPr="00C46ED3">
        <w:rPr>
          <w:i/>
          <w:spacing w:val="-1"/>
        </w:rPr>
        <w:t>of</w:t>
      </w:r>
      <w:r w:rsidR="004304C5">
        <w:rPr>
          <w:i/>
          <w:spacing w:val="-1"/>
        </w:rPr>
        <w:t xml:space="preserve"> </w:t>
      </w:r>
      <w:r w:rsidRPr="00C46ED3">
        <w:rPr>
          <w:i/>
          <w:spacing w:val="-1"/>
        </w:rPr>
        <w:t>Politics,</w:t>
      </w:r>
      <w:r w:rsidR="004304C5">
        <w:rPr>
          <w:i/>
          <w:spacing w:val="-1"/>
        </w:rPr>
        <w:t xml:space="preserve"> </w:t>
      </w:r>
      <w:r w:rsidRPr="00C46ED3">
        <w:rPr>
          <w:i/>
          <w:spacing w:val="-1"/>
        </w:rPr>
        <w:t>Working</w:t>
      </w:r>
      <w:r w:rsidR="004304C5">
        <w:rPr>
          <w:i/>
          <w:spacing w:val="-1"/>
        </w:rPr>
        <w:t xml:space="preserve"> </w:t>
      </w:r>
      <w:r w:rsidRPr="00C46ED3">
        <w:rPr>
          <w:i/>
          <w:spacing w:val="-1"/>
        </w:rPr>
        <w:t>Paper</w:t>
      </w:r>
      <w:r w:rsidR="004304C5">
        <w:rPr>
          <w:i/>
          <w:spacing w:val="-1"/>
        </w:rPr>
        <w:t xml:space="preserve"> </w:t>
      </w:r>
      <w:r w:rsidRPr="00C46ED3">
        <w:rPr>
          <w:spacing w:val="-1"/>
        </w:rPr>
        <w:t>(5).</w:t>
      </w:r>
    </w:p>
    <w:p w14:paraId="196AC5B1" w14:textId="0F8062D7" w:rsidR="005F1585" w:rsidRPr="00C46ED3" w:rsidRDefault="005F1585" w:rsidP="00C46ED3">
      <w:pPr>
        <w:pStyle w:val="Textkrper"/>
        <w:spacing w:line="480" w:lineRule="auto"/>
        <w:ind w:left="709" w:hanging="709"/>
        <w:jc w:val="both"/>
        <w:rPr>
          <w:rFonts w:asciiTheme="minorHAnsi" w:hAnsiTheme="minorHAnsi"/>
          <w:spacing w:val="-1"/>
          <w:sz w:val="22"/>
          <w:szCs w:val="22"/>
        </w:rPr>
      </w:pPr>
      <w:r w:rsidRPr="00C46ED3">
        <w:rPr>
          <w:rFonts w:asciiTheme="minorHAnsi" w:hAnsiTheme="minorHAnsi"/>
          <w:spacing w:val="-1"/>
          <w:sz w:val="22"/>
          <w:szCs w:val="22"/>
        </w:rPr>
        <w:t>Cerny,</w:t>
      </w:r>
      <w:r w:rsidR="00953F09">
        <w:rPr>
          <w:rFonts w:asciiTheme="minorHAnsi" w:hAnsiTheme="minorHAnsi"/>
          <w:spacing w:val="-1"/>
          <w:sz w:val="22"/>
          <w:szCs w:val="22"/>
        </w:rPr>
        <w:t xml:space="preserve"> </w:t>
      </w:r>
      <w:r w:rsidRPr="00C46ED3">
        <w:rPr>
          <w:rFonts w:asciiTheme="minorHAnsi" w:hAnsiTheme="minorHAnsi"/>
          <w:spacing w:val="-1"/>
          <w:sz w:val="22"/>
          <w:szCs w:val="22"/>
        </w:rPr>
        <w:t>Philip</w:t>
      </w:r>
      <w:r w:rsidR="00953F09">
        <w:rPr>
          <w:rFonts w:asciiTheme="minorHAnsi" w:hAnsiTheme="minorHAnsi"/>
          <w:spacing w:val="-1"/>
          <w:sz w:val="22"/>
          <w:szCs w:val="22"/>
        </w:rPr>
        <w:t xml:space="preserve"> </w:t>
      </w:r>
      <w:r w:rsidRPr="00C46ED3">
        <w:rPr>
          <w:rFonts w:asciiTheme="minorHAnsi" w:hAnsiTheme="minorHAnsi"/>
          <w:sz w:val="22"/>
          <w:szCs w:val="22"/>
        </w:rPr>
        <w:t>G.</w:t>
      </w:r>
      <w:r w:rsidR="00953F09">
        <w:rPr>
          <w:rFonts w:asciiTheme="minorHAnsi" w:hAnsiTheme="minorHAnsi"/>
          <w:sz w:val="22"/>
          <w:szCs w:val="22"/>
        </w:rPr>
        <w:t xml:space="preserve"> </w:t>
      </w:r>
      <w:r w:rsidRPr="00C46ED3">
        <w:rPr>
          <w:rFonts w:asciiTheme="minorHAnsi" w:hAnsiTheme="minorHAnsi"/>
          <w:spacing w:val="-1"/>
          <w:sz w:val="22"/>
          <w:szCs w:val="22"/>
        </w:rPr>
        <w:t>1999.</w:t>
      </w:r>
      <w:r w:rsidR="00953F09">
        <w:rPr>
          <w:rFonts w:asciiTheme="minorHAnsi" w:hAnsiTheme="minorHAnsi"/>
          <w:spacing w:val="-1"/>
          <w:sz w:val="22"/>
          <w:szCs w:val="22"/>
        </w:rPr>
        <w:t xml:space="preserve"> </w:t>
      </w:r>
      <w:r w:rsidRPr="00C46ED3">
        <w:rPr>
          <w:rFonts w:asciiTheme="minorHAnsi" w:hAnsiTheme="minorHAnsi"/>
          <w:spacing w:val="-1"/>
          <w:sz w:val="22"/>
          <w:szCs w:val="22"/>
        </w:rPr>
        <w:t>Globalization,</w:t>
      </w:r>
      <w:r w:rsidR="00953F09">
        <w:rPr>
          <w:rFonts w:asciiTheme="minorHAnsi" w:hAnsiTheme="minorHAnsi"/>
          <w:spacing w:val="-1"/>
          <w:sz w:val="22"/>
          <w:szCs w:val="22"/>
        </w:rPr>
        <w:t xml:space="preserve"> </w:t>
      </w:r>
      <w:r w:rsidRPr="00C46ED3">
        <w:rPr>
          <w:rFonts w:asciiTheme="minorHAnsi" w:hAnsiTheme="minorHAnsi"/>
          <w:spacing w:val="-1"/>
          <w:sz w:val="22"/>
          <w:szCs w:val="22"/>
        </w:rPr>
        <w:t>Governance</w:t>
      </w:r>
      <w:r w:rsidR="00953F09">
        <w:rPr>
          <w:rFonts w:asciiTheme="minorHAnsi" w:hAnsiTheme="minorHAnsi"/>
          <w:spacing w:val="-1"/>
          <w:sz w:val="22"/>
          <w:szCs w:val="22"/>
        </w:rPr>
        <w:t xml:space="preserve"> </w:t>
      </w:r>
      <w:r w:rsidRPr="00C46ED3">
        <w:rPr>
          <w:rFonts w:asciiTheme="minorHAnsi" w:hAnsiTheme="minorHAnsi"/>
          <w:spacing w:val="-1"/>
          <w:sz w:val="22"/>
          <w:szCs w:val="22"/>
        </w:rPr>
        <w:t>and</w:t>
      </w:r>
      <w:r w:rsidR="00953F09">
        <w:rPr>
          <w:rFonts w:asciiTheme="minorHAnsi" w:hAnsiTheme="minorHAnsi"/>
          <w:spacing w:val="-1"/>
          <w:sz w:val="22"/>
          <w:szCs w:val="22"/>
        </w:rPr>
        <w:t xml:space="preserve"> </w:t>
      </w:r>
      <w:r w:rsidRPr="00C46ED3">
        <w:rPr>
          <w:rFonts w:asciiTheme="minorHAnsi" w:hAnsiTheme="minorHAnsi"/>
          <w:spacing w:val="-1"/>
          <w:sz w:val="22"/>
          <w:szCs w:val="22"/>
        </w:rPr>
        <w:t>Complexity.</w:t>
      </w:r>
      <w:r w:rsidR="00953F09">
        <w:rPr>
          <w:rFonts w:asciiTheme="minorHAnsi" w:hAnsiTheme="minorHAnsi"/>
          <w:spacing w:val="-1"/>
          <w:sz w:val="22"/>
          <w:szCs w:val="22"/>
        </w:rPr>
        <w:t xml:space="preserve"> </w:t>
      </w:r>
      <w:r w:rsidRPr="00C46ED3">
        <w:rPr>
          <w:rFonts w:asciiTheme="minorHAnsi" w:hAnsiTheme="minorHAnsi"/>
          <w:spacing w:val="-2"/>
          <w:sz w:val="22"/>
          <w:szCs w:val="22"/>
        </w:rPr>
        <w:t>In</w:t>
      </w:r>
      <w:r w:rsidR="00953F09">
        <w:rPr>
          <w:rFonts w:asciiTheme="minorHAnsi" w:hAnsiTheme="minorHAnsi"/>
          <w:spacing w:val="-2"/>
          <w:sz w:val="22"/>
          <w:szCs w:val="22"/>
        </w:rPr>
        <w:t xml:space="preserve"> </w:t>
      </w:r>
      <w:r w:rsidRPr="00C46ED3">
        <w:rPr>
          <w:rFonts w:asciiTheme="minorHAnsi" w:hAnsiTheme="minorHAnsi"/>
          <w:i/>
          <w:spacing w:val="-1"/>
          <w:sz w:val="22"/>
          <w:szCs w:val="22"/>
        </w:rPr>
        <w:t>Globalization</w:t>
      </w:r>
      <w:r w:rsidR="00953F09">
        <w:rPr>
          <w:rFonts w:asciiTheme="minorHAnsi" w:hAnsiTheme="minorHAnsi"/>
          <w:i/>
          <w:spacing w:val="-1"/>
          <w:sz w:val="22"/>
          <w:szCs w:val="22"/>
        </w:rPr>
        <w:t xml:space="preserve"> </w:t>
      </w:r>
      <w:r w:rsidRPr="00C46ED3">
        <w:rPr>
          <w:rFonts w:asciiTheme="minorHAnsi" w:hAnsiTheme="minorHAnsi"/>
          <w:i/>
          <w:spacing w:val="-1"/>
          <w:sz w:val="22"/>
          <w:szCs w:val="22"/>
        </w:rPr>
        <w:t>and</w:t>
      </w:r>
      <w:r w:rsidR="00953F09">
        <w:rPr>
          <w:rFonts w:asciiTheme="minorHAnsi" w:hAnsiTheme="minorHAnsi"/>
          <w:i/>
          <w:spacing w:val="-1"/>
          <w:sz w:val="22"/>
          <w:szCs w:val="22"/>
        </w:rPr>
        <w:t xml:space="preserve"> </w:t>
      </w:r>
      <w:r w:rsidRPr="00C46ED3">
        <w:rPr>
          <w:rFonts w:asciiTheme="minorHAnsi" w:hAnsiTheme="minorHAnsi"/>
          <w:i/>
          <w:spacing w:val="-1"/>
          <w:sz w:val="22"/>
          <w:szCs w:val="22"/>
        </w:rPr>
        <w:t>Governance</w:t>
      </w:r>
      <w:r w:rsidRPr="00C46ED3">
        <w:rPr>
          <w:rFonts w:asciiTheme="minorHAnsi" w:hAnsiTheme="minorHAnsi"/>
          <w:spacing w:val="-1"/>
          <w:sz w:val="22"/>
          <w:szCs w:val="22"/>
        </w:rPr>
        <w:t>,</w:t>
      </w:r>
      <w:r w:rsidR="00953F09">
        <w:rPr>
          <w:rFonts w:asciiTheme="minorHAnsi" w:hAnsiTheme="minorHAnsi"/>
          <w:spacing w:val="-1"/>
          <w:sz w:val="22"/>
          <w:szCs w:val="22"/>
        </w:rPr>
        <w:t xml:space="preserve"> </w:t>
      </w:r>
      <w:r w:rsidRPr="00C46ED3">
        <w:rPr>
          <w:rFonts w:asciiTheme="minorHAnsi" w:hAnsiTheme="minorHAnsi"/>
          <w:spacing w:val="-1"/>
          <w:sz w:val="22"/>
          <w:szCs w:val="22"/>
        </w:rPr>
        <w:t>edited</w:t>
      </w:r>
      <w:r w:rsidR="00953F09">
        <w:rPr>
          <w:rFonts w:asciiTheme="minorHAnsi" w:hAnsiTheme="minorHAnsi"/>
          <w:spacing w:val="-1"/>
          <w:sz w:val="22"/>
          <w:szCs w:val="22"/>
        </w:rPr>
        <w:t xml:space="preserve"> </w:t>
      </w:r>
      <w:r w:rsidRPr="00C46ED3">
        <w:rPr>
          <w:rFonts w:asciiTheme="minorHAnsi" w:hAnsiTheme="minorHAnsi"/>
          <w:sz w:val="22"/>
          <w:szCs w:val="22"/>
        </w:rPr>
        <w:t>by</w:t>
      </w:r>
      <w:r w:rsidR="00953F09">
        <w:rPr>
          <w:rFonts w:asciiTheme="minorHAnsi" w:hAnsiTheme="minorHAnsi"/>
          <w:sz w:val="22"/>
          <w:szCs w:val="22"/>
        </w:rPr>
        <w:t xml:space="preserve"> </w:t>
      </w:r>
      <w:r w:rsidRPr="00C46ED3">
        <w:rPr>
          <w:rFonts w:asciiTheme="minorHAnsi" w:hAnsiTheme="minorHAnsi"/>
          <w:sz w:val="22"/>
          <w:szCs w:val="22"/>
        </w:rPr>
        <w:t>A.</w:t>
      </w:r>
      <w:r w:rsidR="00953F09">
        <w:rPr>
          <w:rFonts w:asciiTheme="minorHAnsi" w:hAnsiTheme="minorHAnsi"/>
          <w:sz w:val="22"/>
          <w:szCs w:val="22"/>
        </w:rPr>
        <w:t xml:space="preserve"> </w:t>
      </w:r>
      <w:r w:rsidRPr="00C46ED3">
        <w:rPr>
          <w:rFonts w:asciiTheme="minorHAnsi" w:hAnsiTheme="minorHAnsi"/>
          <w:spacing w:val="-1"/>
          <w:sz w:val="22"/>
          <w:szCs w:val="22"/>
        </w:rPr>
        <w:t>Prakash</w:t>
      </w:r>
      <w:r w:rsidR="00953F09">
        <w:rPr>
          <w:rFonts w:asciiTheme="minorHAnsi" w:hAnsiTheme="minorHAnsi"/>
          <w:spacing w:val="-1"/>
          <w:sz w:val="22"/>
          <w:szCs w:val="22"/>
        </w:rPr>
        <w:t xml:space="preserve"> </w:t>
      </w:r>
      <w:r w:rsidRPr="00C46ED3">
        <w:rPr>
          <w:rFonts w:asciiTheme="minorHAnsi" w:hAnsiTheme="minorHAnsi"/>
          <w:spacing w:val="-1"/>
          <w:sz w:val="22"/>
          <w:szCs w:val="22"/>
        </w:rPr>
        <w:t>and</w:t>
      </w:r>
      <w:r w:rsidR="00953F09">
        <w:rPr>
          <w:rFonts w:asciiTheme="minorHAnsi" w:hAnsiTheme="minorHAnsi"/>
          <w:spacing w:val="-1"/>
          <w:sz w:val="22"/>
          <w:szCs w:val="22"/>
        </w:rPr>
        <w:t xml:space="preserve"> </w:t>
      </w:r>
      <w:r w:rsidRPr="00C46ED3">
        <w:rPr>
          <w:rFonts w:asciiTheme="minorHAnsi" w:hAnsiTheme="minorHAnsi"/>
          <w:sz w:val="22"/>
          <w:szCs w:val="22"/>
        </w:rPr>
        <w:t>J.</w:t>
      </w:r>
      <w:r w:rsidR="00953F09">
        <w:rPr>
          <w:rFonts w:asciiTheme="minorHAnsi" w:hAnsiTheme="minorHAnsi"/>
          <w:sz w:val="22"/>
          <w:szCs w:val="22"/>
        </w:rPr>
        <w:t xml:space="preserve"> </w:t>
      </w:r>
      <w:r w:rsidRPr="00C46ED3">
        <w:rPr>
          <w:rFonts w:asciiTheme="minorHAnsi" w:hAnsiTheme="minorHAnsi"/>
          <w:spacing w:val="-1"/>
          <w:sz w:val="22"/>
          <w:szCs w:val="22"/>
        </w:rPr>
        <w:t>A.</w:t>
      </w:r>
      <w:r w:rsidR="00953F09">
        <w:rPr>
          <w:rFonts w:asciiTheme="minorHAnsi" w:hAnsiTheme="minorHAnsi"/>
          <w:spacing w:val="-1"/>
          <w:sz w:val="22"/>
          <w:szCs w:val="22"/>
        </w:rPr>
        <w:t xml:space="preserve"> </w:t>
      </w:r>
      <w:r w:rsidRPr="00C46ED3">
        <w:rPr>
          <w:rFonts w:asciiTheme="minorHAnsi" w:hAnsiTheme="minorHAnsi"/>
          <w:spacing w:val="-1"/>
          <w:sz w:val="22"/>
          <w:szCs w:val="22"/>
        </w:rPr>
        <w:t>Hart.</w:t>
      </w:r>
      <w:r w:rsidR="00953F09">
        <w:rPr>
          <w:rFonts w:asciiTheme="minorHAnsi" w:hAnsiTheme="minorHAnsi"/>
          <w:spacing w:val="-1"/>
          <w:sz w:val="22"/>
          <w:szCs w:val="22"/>
        </w:rPr>
        <w:t xml:space="preserve"> </w:t>
      </w:r>
      <w:r w:rsidRPr="00C46ED3">
        <w:rPr>
          <w:rFonts w:asciiTheme="minorHAnsi" w:hAnsiTheme="minorHAnsi"/>
          <w:spacing w:val="-1"/>
          <w:sz w:val="22"/>
          <w:szCs w:val="22"/>
        </w:rPr>
        <w:t>London</w:t>
      </w:r>
      <w:r w:rsidR="00953F09">
        <w:rPr>
          <w:rFonts w:asciiTheme="minorHAnsi" w:hAnsiTheme="minorHAnsi"/>
          <w:spacing w:val="-1"/>
          <w:sz w:val="22"/>
          <w:szCs w:val="22"/>
        </w:rPr>
        <w:t xml:space="preserve"> </w:t>
      </w:r>
      <w:r w:rsidRPr="00C46ED3">
        <w:rPr>
          <w:rFonts w:asciiTheme="minorHAnsi" w:hAnsiTheme="minorHAnsi"/>
          <w:spacing w:val="-1"/>
          <w:sz w:val="22"/>
          <w:szCs w:val="22"/>
        </w:rPr>
        <w:t>and</w:t>
      </w:r>
      <w:r w:rsidR="00953F09">
        <w:rPr>
          <w:rFonts w:asciiTheme="minorHAnsi" w:hAnsiTheme="minorHAnsi"/>
          <w:spacing w:val="-1"/>
          <w:sz w:val="22"/>
          <w:szCs w:val="22"/>
        </w:rPr>
        <w:t xml:space="preserve"> </w:t>
      </w:r>
      <w:r w:rsidRPr="00C46ED3">
        <w:rPr>
          <w:rFonts w:asciiTheme="minorHAnsi" w:hAnsiTheme="minorHAnsi"/>
          <w:sz w:val="22"/>
          <w:szCs w:val="22"/>
        </w:rPr>
        <w:t>New</w:t>
      </w:r>
      <w:r w:rsidR="00953F09">
        <w:rPr>
          <w:rFonts w:asciiTheme="minorHAnsi" w:hAnsiTheme="minorHAnsi"/>
          <w:sz w:val="22"/>
          <w:szCs w:val="22"/>
        </w:rPr>
        <w:t xml:space="preserve"> </w:t>
      </w:r>
      <w:r w:rsidRPr="00C46ED3">
        <w:rPr>
          <w:rFonts w:asciiTheme="minorHAnsi" w:hAnsiTheme="minorHAnsi"/>
          <w:spacing w:val="-1"/>
          <w:sz w:val="22"/>
          <w:szCs w:val="22"/>
        </w:rPr>
        <w:t>York:</w:t>
      </w:r>
      <w:r w:rsidR="00953F09">
        <w:rPr>
          <w:rFonts w:asciiTheme="minorHAnsi" w:hAnsiTheme="minorHAnsi"/>
          <w:spacing w:val="-1"/>
          <w:sz w:val="22"/>
          <w:szCs w:val="22"/>
        </w:rPr>
        <w:t xml:space="preserve"> </w:t>
      </w:r>
      <w:r w:rsidRPr="00C46ED3">
        <w:rPr>
          <w:rFonts w:asciiTheme="minorHAnsi" w:hAnsiTheme="minorHAnsi"/>
          <w:spacing w:val="-1"/>
          <w:sz w:val="22"/>
          <w:szCs w:val="22"/>
        </w:rPr>
        <w:t>Routledge,</w:t>
      </w:r>
      <w:r w:rsidR="00953F09">
        <w:rPr>
          <w:rFonts w:asciiTheme="minorHAnsi" w:hAnsiTheme="minorHAnsi"/>
          <w:spacing w:val="-1"/>
          <w:sz w:val="22"/>
          <w:szCs w:val="22"/>
        </w:rPr>
        <w:t xml:space="preserve"> </w:t>
      </w:r>
      <w:r w:rsidRPr="00C46ED3">
        <w:rPr>
          <w:rFonts w:asciiTheme="minorHAnsi" w:hAnsiTheme="minorHAnsi"/>
          <w:spacing w:val="-1"/>
          <w:sz w:val="22"/>
          <w:szCs w:val="22"/>
        </w:rPr>
        <w:t>188-212.</w:t>
      </w:r>
    </w:p>
    <w:p w14:paraId="302ECBD4" w14:textId="20294A7C" w:rsidR="000B1533" w:rsidRDefault="000B1533" w:rsidP="00C46ED3">
      <w:pPr>
        <w:keepNext/>
        <w:spacing w:after="0" w:line="480" w:lineRule="auto"/>
        <w:ind w:left="709" w:hanging="709"/>
        <w:jc w:val="both"/>
      </w:pPr>
      <w:r w:rsidRPr="00C46ED3">
        <w:rPr>
          <w:rFonts w:cs="Times New Roman"/>
          <w:lang w:val="en-US"/>
        </w:rPr>
        <w:t>Caribbean Regional Negotiating Machinery (</w:t>
      </w:r>
      <w:r w:rsidR="00D0559B" w:rsidRPr="00C46ED3">
        <w:rPr>
          <w:rFonts w:cs="Times New Roman"/>
          <w:lang w:val="en-US"/>
        </w:rPr>
        <w:t>CRNM</w:t>
      </w:r>
      <w:r w:rsidRPr="00C46ED3">
        <w:rPr>
          <w:rFonts w:cs="Times New Roman"/>
          <w:lang w:val="en-US"/>
        </w:rPr>
        <w:t xml:space="preserve">) Information Unit (2009) ‘‘The EPA at a glance: an overview of the CARIFORUM–EC Economic Partnership Agreement’’, available at: </w:t>
      </w:r>
      <w:hyperlink r:id="rId13" w:history="1">
        <w:r w:rsidRPr="00C46ED3">
          <w:rPr>
            <w:rStyle w:val="Hyperlink"/>
            <w:rFonts w:cs="Times New Roman"/>
            <w:lang w:val="en-US"/>
          </w:rPr>
          <w:t>http://www.crnm.org/index.php?option=com_docman&amp;task=cat_view&amp;gid=71&amp;Itemid=95</w:t>
        </w:r>
      </w:hyperlink>
      <w:r w:rsidR="002853E5">
        <w:rPr>
          <w:rStyle w:val="Hyperlink"/>
          <w:rFonts w:cs="Times New Roman"/>
          <w:lang w:val="en-US"/>
        </w:rPr>
        <w:t xml:space="preserve"> </w:t>
      </w:r>
      <w:r w:rsidR="002853E5" w:rsidRPr="002853E5">
        <w:t xml:space="preserve">(last accessed </w:t>
      </w:r>
      <w:r w:rsidR="002853E5">
        <w:t>22 October 2014).</w:t>
      </w:r>
    </w:p>
    <w:p w14:paraId="455BC4DB" w14:textId="7AA64B77" w:rsidR="00A148CC" w:rsidRPr="002853E5" w:rsidRDefault="00A148CC" w:rsidP="00C46ED3">
      <w:pPr>
        <w:keepNext/>
        <w:spacing w:after="0" w:line="480" w:lineRule="auto"/>
        <w:ind w:left="709" w:hanging="709"/>
        <w:jc w:val="both"/>
        <w:rPr>
          <w:rFonts w:cs="Times New Roman"/>
          <w:lang w:val="en-US"/>
        </w:rPr>
      </w:pPr>
      <w:r w:rsidRPr="00E352BF">
        <w:rPr>
          <w:rFonts w:ascii="Calibri" w:hAnsi="Calibri" w:cs="Times New Roman"/>
          <w:lang w:val="en-US"/>
        </w:rPr>
        <w:t>Dauvergne</w:t>
      </w:r>
      <w:r w:rsidR="00CA3874" w:rsidRPr="00E352BF">
        <w:rPr>
          <w:rFonts w:ascii="Calibri" w:hAnsi="Calibri" w:cs="Times New Roman"/>
          <w:lang w:val="en-US"/>
        </w:rPr>
        <w:t>, Catherine</w:t>
      </w:r>
      <w:r w:rsidRPr="00E352BF">
        <w:rPr>
          <w:rFonts w:ascii="Calibri" w:hAnsi="Calibri" w:cs="Times New Roman"/>
          <w:lang w:val="en-US"/>
        </w:rPr>
        <w:t xml:space="preserve"> </w:t>
      </w:r>
      <w:r w:rsidR="00CA3874" w:rsidRPr="00E352BF">
        <w:rPr>
          <w:rFonts w:ascii="Calibri" w:hAnsi="Calibri" w:cs="Times New Roman"/>
          <w:lang w:val="en-US"/>
        </w:rPr>
        <w:t>(</w:t>
      </w:r>
      <w:r w:rsidRPr="00E352BF">
        <w:rPr>
          <w:rFonts w:ascii="Calibri" w:hAnsi="Calibri" w:cs="Times New Roman"/>
          <w:lang w:val="en-US"/>
        </w:rPr>
        <w:t>2014</w:t>
      </w:r>
      <w:r w:rsidR="00CA3874">
        <w:rPr>
          <w:rFonts w:ascii="Calibri" w:hAnsi="Calibri" w:cs="Times New Roman"/>
          <w:lang w:val="en-US"/>
        </w:rPr>
        <w:t xml:space="preserve">) </w:t>
      </w:r>
      <w:r w:rsidR="00E352BF" w:rsidRPr="00E352BF">
        <w:rPr>
          <w:color w:val="000000"/>
        </w:rPr>
        <w:t xml:space="preserve">Irregular Migration, State Sovereignty and the Rule of Law, in </w:t>
      </w:r>
      <w:r w:rsidR="00CA3874" w:rsidRPr="00E352BF">
        <w:rPr>
          <w:rFonts w:cs="Times New Roman"/>
          <w:lang w:val="en-US"/>
        </w:rPr>
        <w:t>V</w:t>
      </w:r>
      <w:r w:rsidR="00CA3874">
        <w:rPr>
          <w:rFonts w:ascii="Calibri" w:hAnsi="Calibri" w:cs="Times New Roman"/>
          <w:lang w:val="en-US"/>
        </w:rPr>
        <w:t xml:space="preserve">incent </w:t>
      </w:r>
      <w:r w:rsidR="00CA3874">
        <w:rPr>
          <w:rFonts w:ascii="Calibri" w:hAnsi="Calibri" w:cs="Times New Roman"/>
        </w:rPr>
        <w:t xml:space="preserve">Chetail and Céline </w:t>
      </w:r>
      <w:r w:rsidR="00CA3874" w:rsidRPr="00CA3874">
        <w:rPr>
          <w:rFonts w:ascii="Calibri" w:hAnsi="Calibri" w:cs="Times New Roman"/>
        </w:rPr>
        <w:t>Bauloz</w:t>
      </w:r>
      <w:r w:rsidR="00CA3874">
        <w:rPr>
          <w:rFonts w:ascii="Calibri" w:hAnsi="Calibri" w:cs="Times New Roman"/>
        </w:rPr>
        <w:t xml:space="preserve"> (eds.)</w:t>
      </w:r>
      <w:r w:rsidR="00CA3874" w:rsidRPr="00CA3874">
        <w:rPr>
          <w:rFonts w:ascii="Calibri" w:hAnsi="Calibri" w:cs="Times New Roman"/>
        </w:rPr>
        <w:t>, Research Handbook on the International Law of Migration</w:t>
      </w:r>
      <w:r w:rsidR="00CA3874">
        <w:rPr>
          <w:rFonts w:ascii="Calibri" w:hAnsi="Calibri" w:cs="Times New Roman"/>
        </w:rPr>
        <w:t xml:space="preserve">, </w:t>
      </w:r>
      <w:r w:rsidR="00E352BF">
        <w:rPr>
          <w:rFonts w:ascii="Calibri" w:hAnsi="Calibri" w:cs="Times New Roman"/>
        </w:rPr>
        <w:t>Cheltenham: Edward Elgar.</w:t>
      </w:r>
    </w:p>
    <w:p w14:paraId="0E4E4428" w14:textId="77777777" w:rsidR="00D97A5D" w:rsidRPr="00C46ED3" w:rsidRDefault="00D97A5D" w:rsidP="00C46ED3">
      <w:pPr>
        <w:spacing w:after="0" w:line="480" w:lineRule="auto"/>
        <w:ind w:left="709" w:hanging="709"/>
        <w:jc w:val="both"/>
      </w:pPr>
      <w:r w:rsidRPr="000B1533">
        <w:t xml:space="preserve">Dawson, Laura R. (2013), Labour Mobility and the WTO: The Limits of GATS Mode 4, </w:t>
      </w:r>
      <w:r w:rsidRPr="000B1533">
        <w:rPr>
          <w:u w:val="single"/>
        </w:rPr>
        <w:t>International Migration</w:t>
      </w:r>
      <w:r w:rsidRPr="000B1533">
        <w:t>, 51 (1): 1–23.</w:t>
      </w:r>
    </w:p>
    <w:p w14:paraId="6B997896" w14:textId="0E634327" w:rsidR="005F1585" w:rsidRPr="00C46ED3" w:rsidRDefault="005F1585" w:rsidP="00C46ED3">
      <w:pPr>
        <w:spacing w:after="0" w:line="480" w:lineRule="auto"/>
        <w:ind w:left="709" w:hanging="709"/>
        <w:jc w:val="both"/>
        <w:rPr>
          <w:rFonts w:eastAsia="Times New Roman" w:cs="Times New Roman"/>
        </w:rPr>
      </w:pPr>
      <w:r w:rsidRPr="00C46ED3">
        <w:rPr>
          <w:spacing w:val="-1"/>
          <w:lang w:val="de-CH"/>
        </w:rPr>
        <w:t>Fröbel,</w:t>
      </w:r>
      <w:r w:rsidR="00345FB4">
        <w:rPr>
          <w:spacing w:val="-1"/>
          <w:lang w:val="de-CH"/>
        </w:rPr>
        <w:t xml:space="preserve"> </w:t>
      </w:r>
      <w:r w:rsidRPr="00C46ED3">
        <w:rPr>
          <w:spacing w:val="-2"/>
          <w:lang w:val="de-CH"/>
        </w:rPr>
        <w:t>Folker,</w:t>
      </w:r>
      <w:r w:rsidR="00345FB4">
        <w:rPr>
          <w:spacing w:val="-2"/>
          <w:lang w:val="de-CH"/>
        </w:rPr>
        <w:t xml:space="preserve"> </w:t>
      </w:r>
      <w:r w:rsidRPr="00C46ED3">
        <w:rPr>
          <w:spacing w:val="-1"/>
          <w:lang w:val="de-CH"/>
        </w:rPr>
        <w:t>Jürgen</w:t>
      </w:r>
      <w:r w:rsidR="00345FB4">
        <w:rPr>
          <w:spacing w:val="-1"/>
          <w:lang w:val="de-CH"/>
        </w:rPr>
        <w:t xml:space="preserve"> </w:t>
      </w:r>
      <w:r w:rsidRPr="00C46ED3">
        <w:rPr>
          <w:spacing w:val="-1"/>
          <w:lang w:val="de-CH"/>
        </w:rPr>
        <w:t>Heinrichts,</w:t>
      </w:r>
      <w:r w:rsidR="00345FB4">
        <w:rPr>
          <w:spacing w:val="-1"/>
          <w:lang w:val="de-CH"/>
        </w:rPr>
        <w:t xml:space="preserve"> </w:t>
      </w:r>
      <w:r w:rsidRPr="00C46ED3">
        <w:rPr>
          <w:spacing w:val="-1"/>
          <w:lang w:val="de-CH"/>
        </w:rPr>
        <w:t>and</w:t>
      </w:r>
      <w:r w:rsidR="00345FB4">
        <w:rPr>
          <w:spacing w:val="-1"/>
          <w:lang w:val="de-CH"/>
        </w:rPr>
        <w:t xml:space="preserve"> </w:t>
      </w:r>
      <w:r w:rsidRPr="00C46ED3">
        <w:rPr>
          <w:spacing w:val="-1"/>
          <w:lang w:val="de-CH"/>
        </w:rPr>
        <w:t>Otto</w:t>
      </w:r>
      <w:r w:rsidR="00345FB4">
        <w:rPr>
          <w:spacing w:val="-1"/>
          <w:lang w:val="de-CH"/>
        </w:rPr>
        <w:t xml:space="preserve"> </w:t>
      </w:r>
      <w:r w:rsidRPr="00C46ED3">
        <w:rPr>
          <w:lang w:val="de-CH"/>
        </w:rPr>
        <w:t>Kreye.</w:t>
      </w:r>
      <w:r w:rsidR="00345FB4">
        <w:rPr>
          <w:lang w:val="de-CH"/>
        </w:rPr>
        <w:t xml:space="preserve"> </w:t>
      </w:r>
      <w:r w:rsidRPr="00C46ED3">
        <w:rPr>
          <w:spacing w:val="-1"/>
          <w:lang w:val="de-CH"/>
        </w:rPr>
        <w:t>1977.</w:t>
      </w:r>
      <w:r w:rsidR="00345FB4">
        <w:rPr>
          <w:spacing w:val="-1"/>
          <w:lang w:val="de-CH"/>
        </w:rPr>
        <w:t xml:space="preserve"> </w:t>
      </w:r>
      <w:r w:rsidRPr="00C46ED3">
        <w:rPr>
          <w:i/>
          <w:spacing w:val="-1"/>
          <w:lang w:val="de-CH"/>
        </w:rPr>
        <w:t>Die</w:t>
      </w:r>
      <w:r w:rsidR="00345FB4">
        <w:rPr>
          <w:i/>
          <w:spacing w:val="-1"/>
          <w:lang w:val="de-CH"/>
        </w:rPr>
        <w:t xml:space="preserve"> </w:t>
      </w:r>
      <w:r w:rsidRPr="00C46ED3">
        <w:rPr>
          <w:i/>
          <w:spacing w:val="-1"/>
          <w:lang w:val="de-CH"/>
        </w:rPr>
        <w:t>neue</w:t>
      </w:r>
      <w:r w:rsidR="00345FB4">
        <w:rPr>
          <w:i/>
          <w:spacing w:val="-1"/>
          <w:lang w:val="de-CH"/>
        </w:rPr>
        <w:t xml:space="preserve"> </w:t>
      </w:r>
      <w:r w:rsidRPr="00C46ED3">
        <w:rPr>
          <w:i/>
          <w:spacing w:val="-1"/>
          <w:lang w:val="de-CH"/>
        </w:rPr>
        <w:t>internationale</w:t>
      </w:r>
      <w:r w:rsidR="00345FB4">
        <w:rPr>
          <w:i/>
          <w:spacing w:val="-1"/>
          <w:lang w:val="de-CH"/>
        </w:rPr>
        <w:t xml:space="preserve"> </w:t>
      </w:r>
      <w:r w:rsidRPr="00C46ED3">
        <w:rPr>
          <w:i/>
          <w:spacing w:val="-1"/>
          <w:lang w:val="de-CH"/>
        </w:rPr>
        <w:t>Arbeitsteilung</w:t>
      </w:r>
      <w:r w:rsidRPr="00C46ED3">
        <w:rPr>
          <w:i/>
          <w:lang w:val="de-CH"/>
        </w:rPr>
        <w:t>:</w:t>
      </w:r>
      <w:r w:rsidR="00345FB4">
        <w:rPr>
          <w:i/>
          <w:lang w:val="de-CH"/>
        </w:rPr>
        <w:t xml:space="preserve"> </w:t>
      </w:r>
      <w:r w:rsidRPr="00C46ED3">
        <w:rPr>
          <w:i/>
          <w:spacing w:val="-1"/>
          <w:lang w:val="de-CH"/>
        </w:rPr>
        <w:t>strukturelle</w:t>
      </w:r>
      <w:r w:rsidR="00345FB4">
        <w:rPr>
          <w:i/>
          <w:spacing w:val="-1"/>
          <w:lang w:val="de-CH"/>
        </w:rPr>
        <w:t xml:space="preserve"> </w:t>
      </w:r>
      <w:r w:rsidRPr="00C46ED3">
        <w:rPr>
          <w:i/>
          <w:spacing w:val="-1"/>
          <w:lang w:val="de-CH"/>
        </w:rPr>
        <w:t>Arbeitslosigkeit</w:t>
      </w:r>
      <w:r w:rsidR="00345FB4">
        <w:rPr>
          <w:i/>
          <w:spacing w:val="-1"/>
          <w:lang w:val="de-CH"/>
        </w:rPr>
        <w:t xml:space="preserve"> </w:t>
      </w:r>
      <w:r w:rsidRPr="00C46ED3">
        <w:rPr>
          <w:i/>
          <w:spacing w:val="-1"/>
          <w:lang w:val="de-CH"/>
        </w:rPr>
        <w:t>in</w:t>
      </w:r>
      <w:r w:rsidR="00345FB4">
        <w:rPr>
          <w:i/>
          <w:spacing w:val="-1"/>
          <w:lang w:val="de-CH"/>
        </w:rPr>
        <w:t xml:space="preserve"> </w:t>
      </w:r>
      <w:r w:rsidRPr="00C46ED3">
        <w:rPr>
          <w:i/>
          <w:spacing w:val="-1"/>
          <w:lang w:val="de-CH"/>
        </w:rPr>
        <w:t>den</w:t>
      </w:r>
      <w:r w:rsidR="00345FB4">
        <w:rPr>
          <w:i/>
          <w:spacing w:val="-1"/>
          <w:lang w:val="de-CH"/>
        </w:rPr>
        <w:t xml:space="preserve"> </w:t>
      </w:r>
      <w:r w:rsidRPr="00C46ED3">
        <w:rPr>
          <w:i/>
          <w:spacing w:val="-1"/>
          <w:lang w:val="de-CH"/>
        </w:rPr>
        <w:t>Industrieländern</w:t>
      </w:r>
      <w:r w:rsidR="00345FB4">
        <w:rPr>
          <w:i/>
          <w:spacing w:val="-1"/>
          <w:lang w:val="de-CH"/>
        </w:rPr>
        <w:t xml:space="preserve"> </w:t>
      </w:r>
      <w:r w:rsidRPr="00C46ED3">
        <w:rPr>
          <w:i/>
          <w:spacing w:val="-1"/>
          <w:lang w:val="de-CH"/>
        </w:rPr>
        <w:t>und</w:t>
      </w:r>
      <w:r w:rsidR="00345FB4">
        <w:rPr>
          <w:i/>
          <w:spacing w:val="-1"/>
          <w:lang w:val="de-CH"/>
        </w:rPr>
        <w:t xml:space="preserve"> </w:t>
      </w:r>
      <w:r w:rsidRPr="00C46ED3">
        <w:rPr>
          <w:i/>
          <w:spacing w:val="-1"/>
          <w:lang w:val="de-CH"/>
        </w:rPr>
        <w:t>die</w:t>
      </w:r>
      <w:r w:rsidR="00345FB4">
        <w:rPr>
          <w:i/>
          <w:spacing w:val="-1"/>
          <w:lang w:val="de-CH"/>
        </w:rPr>
        <w:t xml:space="preserve"> </w:t>
      </w:r>
      <w:r w:rsidRPr="00C46ED3">
        <w:rPr>
          <w:i/>
          <w:spacing w:val="-1"/>
          <w:lang w:val="de-CH"/>
        </w:rPr>
        <w:t>Industriealisierung</w:t>
      </w:r>
      <w:r w:rsidR="00345FB4">
        <w:rPr>
          <w:i/>
          <w:spacing w:val="-1"/>
          <w:lang w:val="de-CH"/>
        </w:rPr>
        <w:t xml:space="preserve"> </w:t>
      </w:r>
      <w:r w:rsidRPr="00C46ED3">
        <w:rPr>
          <w:i/>
          <w:spacing w:val="-1"/>
          <w:lang w:val="de-CH"/>
        </w:rPr>
        <w:t>der</w:t>
      </w:r>
      <w:r w:rsidR="00345FB4">
        <w:rPr>
          <w:i/>
          <w:spacing w:val="-1"/>
          <w:lang w:val="de-CH"/>
        </w:rPr>
        <w:t xml:space="preserve"> </w:t>
      </w:r>
      <w:r w:rsidRPr="00C46ED3">
        <w:rPr>
          <w:i/>
          <w:spacing w:val="-1"/>
          <w:lang w:val="de-CH"/>
        </w:rPr>
        <w:t>Entwicklungsländer</w:t>
      </w:r>
      <w:r w:rsidRPr="00C46ED3">
        <w:rPr>
          <w:spacing w:val="-1"/>
          <w:lang w:val="de-CH"/>
        </w:rPr>
        <w:t>.</w:t>
      </w:r>
      <w:r w:rsidR="00345FB4">
        <w:rPr>
          <w:spacing w:val="-1"/>
          <w:lang w:val="de-CH"/>
        </w:rPr>
        <w:t xml:space="preserve"> </w:t>
      </w:r>
      <w:r w:rsidRPr="00C46ED3">
        <w:rPr>
          <w:spacing w:val="-1"/>
        </w:rPr>
        <w:t>Reinbek:</w:t>
      </w:r>
      <w:r w:rsidR="00345FB4">
        <w:rPr>
          <w:spacing w:val="-1"/>
        </w:rPr>
        <w:t xml:space="preserve"> </w:t>
      </w:r>
      <w:r w:rsidRPr="00C46ED3">
        <w:rPr>
          <w:spacing w:val="-1"/>
        </w:rPr>
        <w:t>Rowohlt.</w:t>
      </w:r>
    </w:p>
    <w:p w14:paraId="79B40C53" w14:textId="291936DC" w:rsidR="00B37B3E" w:rsidRDefault="005F1585" w:rsidP="00B37B3E">
      <w:pPr>
        <w:spacing w:after="0" w:line="480" w:lineRule="auto"/>
        <w:ind w:left="709" w:hanging="709"/>
        <w:jc w:val="both"/>
        <w:rPr>
          <w:spacing w:val="-1"/>
        </w:rPr>
      </w:pPr>
      <w:r w:rsidRPr="00C46ED3">
        <w:rPr>
          <w:spacing w:val="-1"/>
        </w:rPr>
        <w:t>Ghosh,</w:t>
      </w:r>
      <w:r w:rsidR="001F19B8">
        <w:rPr>
          <w:spacing w:val="-1"/>
        </w:rPr>
        <w:t xml:space="preserve"> </w:t>
      </w:r>
      <w:r w:rsidRPr="00C46ED3">
        <w:rPr>
          <w:spacing w:val="-1"/>
        </w:rPr>
        <w:t>Bimal.</w:t>
      </w:r>
      <w:r w:rsidR="001F19B8">
        <w:rPr>
          <w:spacing w:val="-1"/>
        </w:rPr>
        <w:t xml:space="preserve"> </w:t>
      </w:r>
      <w:r w:rsidRPr="00C46ED3">
        <w:rPr>
          <w:spacing w:val="-1"/>
        </w:rPr>
        <w:t>1997.</w:t>
      </w:r>
      <w:r w:rsidR="001F19B8">
        <w:rPr>
          <w:spacing w:val="-1"/>
        </w:rPr>
        <w:t xml:space="preserve"> </w:t>
      </w:r>
      <w:r w:rsidRPr="00C46ED3">
        <w:rPr>
          <w:i/>
        </w:rPr>
        <w:t>Gains</w:t>
      </w:r>
      <w:r w:rsidR="001F19B8">
        <w:rPr>
          <w:i/>
        </w:rPr>
        <w:t xml:space="preserve"> </w:t>
      </w:r>
      <w:r w:rsidRPr="00C46ED3">
        <w:rPr>
          <w:i/>
          <w:spacing w:val="-1"/>
        </w:rPr>
        <w:t>from</w:t>
      </w:r>
      <w:r w:rsidR="001F19B8">
        <w:rPr>
          <w:i/>
          <w:spacing w:val="-1"/>
        </w:rPr>
        <w:t xml:space="preserve"> </w:t>
      </w:r>
      <w:r w:rsidRPr="00C46ED3">
        <w:rPr>
          <w:i/>
          <w:spacing w:val="-1"/>
        </w:rPr>
        <w:t>Global</w:t>
      </w:r>
      <w:r w:rsidR="001F19B8">
        <w:rPr>
          <w:i/>
          <w:spacing w:val="-1"/>
        </w:rPr>
        <w:t xml:space="preserve"> </w:t>
      </w:r>
      <w:r w:rsidRPr="00C46ED3">
        <w:rPr>
          <w:i/>
          <w:spacing w:val="-1"/>
        </w:rPr>
        <w:t>Linkages.</w:t>
      </w:r>
      <w:r w:rsidR="001F19B8">
        <w:rPr>
          <w:i/>
          <w:spacing w:val="-1"/>
        </w:rPr>
        <w:t xml:space="preserve"> </w:t>
      </w:r>
      <w:r w:rsidRPr="00C46ED3">
        <w:rPr>
          <w:i/>
          <w:spacing w:val="-1"/>
        </w:rPr>
        <w:t>Trade</w:t>
      </w:r>
      <w:r w:rsidR="001F19B8">
        <w:rPr>
          <w:i/>
          <w:spacing w:val="-1"/>
        </w:rPr>
        <w:t xml:space="preserve"> </w:t>
      </w:r>
      <w:r w:rsidRPr="00C46ED3">
        <w:rPr>
          <w:i/>
          <w:spacing w:val="1"/>
        </w:rPr>
        <w:t>in</w:t>
      </w:r>
      <w:r w:rsidR="001F19B8">
        <w:rPr>
          <w:i/>
          <w:spacing w:val="1"/>
        </w:rPr>
        <w:t xml:space="preserve"> </w:t>
      </w:r>
      <w:r w:rsidRPr="00C46ED3">
        <w:rPr>
          <w:i/>
        </w:rPr>
        <w:t>Services</w:t>
      </w:r>
      <w:r w:rsidR="001F19B8">
        <w:rPr>
          <w:i/>
        </w:rPr>
        <w:t xml:space="preserve"> </w:t>
      </w:r>
      <w:r w:rsidRPr="00C46ED3">
        <w:rPr>
          <w:i/>
          <w:spacing w:val="-1"/>
        </w:rPr>
        <w:t>and</w:t>
      </w:r>
      <w:r w:rsidR="001F19B8">
        <w:rPr>
          <w:i/>
          <w:spacing w:val="-1"/>
        </w:rPr>
        <w:t xml:space="preserve"> </w:t>
      </w:r>
      <w:r w:rsidRPr="00C46ED3">
        <w:rPr>
          <w:i/>
          <w:spacing w:val="-1"/>
        </w:rPr>
        <w:t>Movement</w:t>
      </w:r>
      <w:r w:rsidR="001F19B8">
        <w:rPr>
          <w:i/>
          <w:spacing w:val="-1"/>
        </w:rPr>
        <w:t xml:space="preserve"> </w:t>
      </w:r>
      <w:r w:rsidRPr="00C46ED3">
        <w:rPr>
          <w:i/>
        </w:rPr>
        <w:t>of</w:t>
      </w:r>
      <w:r w:rsidR="001F19B8">
        <w:rPr>
          <w:i/>
        </w:rPr>
        <w:t xml:space="preserve"> </w:t>
      </w:r>
      <w:r w:rsidRPr="00C46ED3">
        <w:rPr>
          <w:i/>
          <w:spacing w:val="-1"/>
        </w:rPr>
        <w:t>Persons</w:t>
      </w:r>
      <w:r w:rsidRPr="00C46ED3">
        <w:rPr>
          <w:spacing w:val="-1"/>
        </w:rPr>
        <w:t>.</w:t>
      </w:r>
      <w:r w:rsidR="001F19B8">
        <w:rPr>
          <w:spacing w:val="-1"/>
        </w:rPr>
        <w:t xml:space="preserve"> </w:t>
      </w:r>
      <w:r w:rsidRPr="00C46ED3">
        <w:rPr>
          <w:spacing w:val="-1"/>
        </w:rPr>
        <w:t>London</w:t>
      </w:r>
      <w:r w:rsidR="001F19B8">
        <w:rPr>
          <w:spacing w:val="-1"/>
        </w:rPr>
        <w:t xml:space="preserve"> </w:t>
      </w:r>
      <w:r w:rsidRPr="00C46ED3">
        <w:rPr>
          <w:spacing w:val="-1"/>
        </w:rPr>
        <w:t>and</w:t>
      </w:r>
      <w:r w:rsidR="001F19B8">
        <w:rPr>
          <w:spacing w:val="-1"/>
        </w:rPr>
        <w:t xml:space="preserve"> </w:t>
      </w:r>
      <w:r w:rsidRPr="00C46ED3">
        <w:rPr>
          <w:spacing w:val="-1"/>
        </w:rPr>
        <w:t>New</w:t>
      </w:r>
      <w:r w:rsidR="00404D42">
        <w:rPr>
          <w:spacing w:val="-1"/>
        </w:rPr>
        <w:t xml:space="preserve"> </w:t>
      </w:r>
      <w:r w:rsidRPr="00C46ED3">
        <w:rPr>
          <w:spacing w:val="-1"/>
        </w:rPr>
        <w:t>York:</w:t>
      </w:r>
      <w:r w:rsidR="001F19B8">
        <w:rPr>
          <w:spacing w:val="-1"/>
        </w:rPr>
        <w:t xml:space="preserve"> </w:t>
      </w:r>
      <w:r w:rsidRPr="00C46ED3">
        <w:rPr>
          <w:spacing w:val="-1"/>
        </w:rPr>
        <w:t>Macmillan</w:t>
      </w:r>
      <w:r w:rsidR="001F19B8">
        <w:rPr>
          <w:spacing w:val="-1"/>
        </w:rPr>
        <w:t xml:space="preserve"> </w:t>
      </w:r>
      <w:r w:rsidRPr="00C46ED3">
        <w:rPr>
          <w:spacing w:val="1"/>
        </w:rPr>
        <w:t>in</w:t>
      </w:r>
      <w:r w:rsidR="001F19B8">
        <w:rPr>
          <w:spacing w:val="1"/>
        </w:rPr>
        <w:t xml:space="preserve"> </w:t>
      </w:r>
      <w:r w:rsidRPr="00C46ED3">
        <w:rPr>
          <w:spacing w:val="-1"/>
        </w:rPr>
        <w:t>association</w:t>
      </w:r>
      <w:r w:rsidR="001F19B8">
        <w:rPr>
          <w:spacing w:val="-1"/>
        </w:rPr>
        <w:t xml:space="preserve"> </w:t>
      </w:r>
      <w:r w:rsidRPr="00C46ED3">
        <w:rPr>
          <w:spacing w:val="-1"/>
        </w:rPr>
        <w:t>with</w:t>
      </w:r>
      <w:r w:rsidR="001F19B8">
        <w:rPr>
          <w:spacing w:val="-1"/>
        </w:rPr>
        <w:t xml:space="preserve"> </w:t>
      </w:r>
      <w:r w:rsidRPr="00C46ED3">
        <w:rPr>
          <w:spacing w:val="-1"/>
        </w:rPr>
        <w:t>International</w:t>
      </w:r>
      <w:r w:rsidR="001F19B8">
        <w:rPr>
          <w:spacing w:val="-1"/>
        </w:rPr>
        <w:t xml:space="preserve"> </w:t>
      </w:r>
      <w:r w:rsidRPr="00C46ED3">
        <w:rPr>
          <w:spacing w:val="-1"/>
        </w:rPr>
        <w:t>Organization</w:t>
      </w:r>
      <w:r w:rsidR="001F19B8">
        <w:rPr>
          <w:spacing w:val="-1"/>
        </w:rPr>
        <w:t xml:space="preserve"> </w:t>
      </w:r>
      <w:r w:rsidRPr="00C46ED3">
        <w:rPr>
          <w:spacing w:val="-1"/>
        </w:rPr>
        <w:t>for</w:t>
      </w:r>
      <w:r w:rsidR="001F19B8">
        <w:rPr>
          <w:spacing w:val="-1"/>
        </w:rPr>
        <w:t xml:space="preserve"> </w:t>
      </w:r>
      <w:r w:rsidRPr="00C46ED3">
        <w:rPr>
          <w:spacing w:val="-1"/>
        </w:rPr>
        <w:t>Migration</w:t>
      </w:r>
      <w:r w:rsidR="001F19B8">
        <w:rPr>
          <w:spacing w:val="-1"/>
        </w:rPr>
        <w:t xml:space="preserve"> </w:t>
      </w:r>
      <w:r w:rsidRPr="00C46ED3">
        <w:rPr>
          <w:spacing w:val="-1"/>
        </w:rPr>
        <w:t>(IOM).</w:t>
      </w:r>
    </w:p>
    <w:p w14:paraId="0B49B37B" w14:textId="77777777" w:rsidR="00B37B3E" w:rsidRPr="00B37B3E" w:rsidRDefault="00B37B3E" w:rsidP="00B37B3E">
      <w:pPr>
        <w:spacing w:after="0" w:line="480" w:lineRule="auto"/>
        <w:ind w:left="709" w:hanging="709"/>
        <w:jc w:val="both"/>
        <w:rPr>
          <w:rFonts w:eastAsia="Times New Roman" w:cs="Times New Roman"/>
        </w:rPr>
      </w:pPr>
      <w:r w:rsidRPr="00B37B3E">
        <w:rPr>
          <w:rFonts w:eastAsia="Times New Roman"/>
          <w:lang w:eastAsia="it-IT"/>
        </w:rPr>
        <w:t xml:space="preserve">Hufbauer, Gary </w:t>
      </w:r>
      <w:r w:rsidRPr="00B37B3E">
        <w:rPr>
          <w:rFonts w:eastAsiaTheme="minorHAnsi" w:cs="MyriadPro-Cond"/>
          <w:lang w:eastAsia="en-US"/>
        </w:rPr>
        <w:t xml:space="preserve">Clyde, J. Bradford Jensen and Sherry Stephenson. 2012. </w:t>
      </w:r>
      <w:r>
        <w:rPr>
          <w:rFonts w:eastAsiaTheme="minorHAnsi" w:cs="MyriadPro-Cond"/>
          <w:lang w:eastAsia="en-US"/>
        </w:rPr>
        <w:t xml:space="preserve">Framework for the International Services Agreement. </w:t>
      </w:r>
      <w:r>
        <w:rPr>
          <w:rFonts w:eastAsiaTheme="minorHAnsi" w:cs="MyriadPro-Cond"/>
          <w:i/>
          <w:lang w:eastAsia="en-US"/>
        </w:rPr>
        <w:t>Policy Brief</w:t>
      </w:r>
      <w:r>
        <w:rPr>
          <w:rFonts w:eastAsiaTheme="minorHAnsi" w:cs="MyriadPro-Cond"/>
          <w:lang w:eastAsia="en-US"/>
        </w:rPr>
        <w:t xml:space="preserve"> of the Peterson Institute for International Economics 12(10).</w:t>
      </w:r>
    </w:p>
    <w:p w14:paraId="25773BBE" w14:textId="475A6A37" w:rsidR="000B1533" w:rsidRPr="00C46ED3" w:rsidRDefault="000B1533" w:rsidP="00C46ED3">
      <w:pPr>
        <w:spacing w:after="0" w:line="480" w:lineRule="auto"/>
        <w:ind w:left="709" w:hanging="709"/>
        <w:jc w:val="both"/>
        <w:rPr>
          <w:rFonts w:eastAsia="Times New Roman"/>
          <w:lang w:val="en-US" w:eastAsia="it-IT"/>
        </w:rPr>
      </w:pPr>
      <w:r w:rsidRPr="00C46ED3">
        <w:rPr>
          <w:rFonts w:eastAsia="Times New Roman"/>
          <w:lang w:val="en-US" w:eastAsia="it-IT"/>
        </w:rPr>
        <w:t>Jurje, F. and Lavenex, S. (2014), Trade Agreements as Venues for ´Market Power Europe´?</w:t>
      </w:r>
      <w:r w:rsidR="00404D42">
        <w:rPr>
          <w:rFonts w:eastAsia="Times New Roman"/>
          <w:lang w:val="en-US" w:eastAsia="it-IT"/>
        </w:rPr>
        <w:t xml:space="preserve"> </w:t>
      </w:r>
      <w:r w:rsidRPr="00C46ED3">
        <w:rPr>
          <w:rFonts w:eastAsia="Times New Roman"/>
          <w:lang w:val="en-US" w:eastAsia="it-IT"/>
        </w:rPr>
        <w:t>The Case of Immigration Policy. JCMS: Journal of Common Market Studies, 52: 320–336.</w:t>
      </w:r>
    </w:p>
    <w:p w14:paraId="6A3BBB7E" w14:textId="2FEB937B" w:rsidR="000B1533" w:rsidRPr="00C46ED3" w:rsidRDefault="000B1533" w:rsidP="00C46ED3">
      <w:pPr>
        <w:spacing w:after="0" w:line="480" w:lineRule="auto"/>
        <w:ind w:left="709" w:hanging="709"/>
        <w:jc w:val="both"/>
        <w:rPr>
          <w:rFonts w:cs="Times New Roman"/>
          <w:lang w:val="en-US"/>
        </w:rPr>
      </w:pPr>
      <w:r w:rsidRPr="00C46ED3">
        <w:rPr>
          <w:rFonts w:cs="Times New Roman"/>
          <w:lang w:val="en-US"/>
        </w:rPr>
        <w:lastRenderedPageBreak/>
        <w:t>Kategekwa, Joy (2008) “ Unlocking the mode 4 deadlock: creative approaches to enhancing mode 4-type temporary labor mobility commitments in free trade and migration agreements with lessons from the GATS”, Paper prepared for the seminar on Swiss Migration EU Mobility partnerships. Unveiling the promise.</w:t>
      </w:r>
      <w:r w:rsidR="00A8717A">
        <w:rPr>
          <w:rFonts w:cs="Times New Roman"/>
          <w:lang w:val="en-US"/>
        </w:rPr>
        <w:t xml:space="preserve"> </w:t>
      </w:r>
      <w:r w:rsidRPr="00C46ED3">
        <w:rPr>
          <w:rFonts w:cs="Times New Roman"/>
          <w:lang w:val="en-US"/>
        </w:rPr>
        <w:t>Berne.</w:t>
      </w:r>
    </w:p>
    <w:p w14:paraId="1094B7F4" w14:textId="77777777" w:rsidR="005F1585" w:rsidRPr="00C46ED3" w:rsidRDefault="005F1585" w:rsidP="00C46ED3">
      <w:pPr>
        <w:spacing w:after="0" w:line="480" w:lineRule="auto"/>
        <w:ind w:left="709" w:hanging="709"/>
        <w:jc w:val="both"/>
        <w:rPr>
          <w:i/>
        </w:rPr>
      </w:pPr>
      <w:r w:rsidRPr="000B1533">
        <w:t xml:space="preserve">Lavenex, Sandra 2006. The Competition State and the Multilateral Liberalization of Skilled Migration, in A. Favell (ed.), </w:t>
      </w:r>
      <w:r w:rsidRPr="00C46ED3">
        <w:rPr>
          <w:i/>
        </w:rPr>
        <w:t>The Human Face of Global Mobility, International Highly Skilled Migration in Europe, North America and the Asia-Pacific</w:t>
      </w:r>
      <w:r w:rsidRPr="00C46ED3">
        <w:t>. New Brunswick, NJ: Transaction Publishers.</w:t>
      </w:r>
    </w:p>
    <w:p w14:paraId="3461C3B0" w14:textId="0DD24D4E" w:rsidR="005F1585" w:rsidRPr="00C46ED3" w:rsidRDefault="005F1585" w:rsidP="00C46ED3">
      <w:pPr>
        <w:spacing w:after="0" w:line="480" w:lineRule="auto"/>
        <w:ind w:left="709" w:hanging="709"/>
        <w:jc w:val="both"/>
        <w:rPr>
          <w:spacing w:val="-1"/>
        </w:rPr>
      </w:pPr>
      <w:r w:rsidRPr="00C46ED3">
        <w:rPr>
          <w:spacing w:val="-1"/>
        </w:rPr>
        <w:t>Massey,</w:t>
      </w:r>
      <w:r w:rsidR="00A8717A">
        <w:rPr>
          <w:spacing w:val="-1"/>
        </w:rPr>
        <w:t xml:space="preserve"> </w:t>
      </w:r>
      <w:r w:rsidRPr="00C46ED3">
        <w:rPr>
          <w:spacing w:val="-1"/>
        </w:rPr>
        <w:t>Douglas</w:t>
      </w:r>
      <w:r w:rsidR="00A8717A">
        <w:rPr>
          <w:spacing w:val="-1"/>
        </w:rPr>
        <w:t xml:space="preserve"> </w:t>
      </w:r>
      <w:r w:rsidRPr="00C46ED3">
        <w:rPr>
          <w:spacing w:val="-1"/>
        </w:rPr>
        <w:t>S.</w:t>
      </w:r>
      <w:r w:rsidR="00A8717A">
        <w:rPr>
          <w:spacing w:val="-1"/>
        </w:rPr>
        <w:t xml:space="preserve"> </w:t>
      </w:r>
      <w:r w:rsidRPr="00C46ED3">
        <w:t>1999.</w:t>
      </w:r>
      <w:r w:rsidR="00A8717A">
        <w:t xml:space="preserve"> </w:t>
      </w:r>
      <w:r w:rsidRPr="00C46ED3">
        <w:rPr>
          <w:spacing w:val="-1"/>
        </w:rPr>
        <w:t>International</w:t>
      </w:r>
      <w:r w:rsidR="00A8717A">
        <w:rPr>
          <w:spacing w:val="-1"/>
        </w:rPr>
        <w:t xml:space="preserve"> </w:t>
      </w:r>
      <w:r w:rsidRPr="00C46ED3">
        <w:rPr>
          <w:spacing w:val="-1"/>
        </w:rPr>
        <w:t>Migration</w:t>
      </w:r>
      <w:r w:rsidR="00A8717A">
        <w:rPr>
          <w:spacing w:val="-1"/>
        </w:rPr>
        <w:t xml:space="preserve"> </w:t>
      </w:r>
      <w:r w:rsidRPr="00C46ED3">
        <w:rPr>
          <w:spacing w:val="-2"/>
        </w:rPr>
        <w:t>at</w:t>
      </w:r>
      <w:r w:rsidR="00A8717A">
        <w:rPr>
          <w:spacing w:val="-2"/>
        </w:rPr>
        <w:t xml:space="preserve"> </w:t>
      </w:r>
      <w:r w:rsidRPr="00C46ED3">
        <w:rPr>
          <w:spacing w:val="-1"/>
        </w:rPr>
        <w:t>the</w:t>
      </w:r>
      <w:r w:rsidR="00A8717A">
        <w:rPr>
          <w:spacing w:val="-1"/>
        </w:rPr>
        <w:t xml:space="preserve"> </w:t>
      </w:r>
      <w:r w:rsidRPr="00C46ED3">
        <w:rPr>
          <w:spacing w:val="-1"/>
        </w:rPr>
        <w:t>Dawn</w:t>
      </w:r>
      <w:r w:rsidR="00A8717A">
        <w:rPr>
          <w:spacing w:val="-1"/>
        </w:rPr>
        <w:t xml:space="preserve"> </w:t>
      </w:r>
      <w:r w:rsidRPr="00C46ED3">
        <w:rPr>
          <w:spacing w:val="-1"/>
        </w:rPr>
        <w:t>of</w:t>
      </w:r>
      <w:r w:rsidR="00A8717A">
        <w:rPr>
          <w:spacing w:val="-1"/>
        </w:rPr>
        <w:t xml:space="preserve"> </w:t>
      </w:r>
      <w:r w:rsidRPr="00C46ED3">
        <w:rPr>
          <w:spacing w:val="-1"/>
        </w:rPr>
        <w:t>the</w:t>
      </w:r>
      <w:r w:rsidR="00A8717A">
        <w:rPr>
          <w:spacing w:val="-1"/>
        </w:rPr>
        <w:t xml:space="preserve"> </w:t>
      </w:r>
      <w:r w:rsidRPr="00C46ED3">
        <w:rPr>
          <w:spacing w:val="-1"/>
        </w:rPr>
        <w:t>Twenty-First</w:t>
      </w:r>
      <w:r w:rsidR="00A8717A">
        <w:rPr>
          <w:spacing w:val="-1"/>
        </w:rPr>
        <w:t xml:space="preserve"> </w:t>
      </w:r>
      <w:r w:rsidRPr="00C46ED3">
        <w:rPr>
          <w:spacing w:val="-1"/>
        </w:rPr>
        <w:t>Century:</w:t>
      </w:r>
      <w:r w:rsidR="00A8717A">
        <w:rPr>
          <w:spacing w:val="-1"/>
        </w:rPr>
        <w:t xml:space="preserve"> </w:t>
      </w:r>
      <w:r w:rsidRPr="00C46ED3">
        <w:rPr>
          <w:spacing w:val="-1"/>
        </w:rPr>
        <w:t>The</w:t>
      </w:r>
      <w:r w:rsidR="00A8717A">
        <w:rPr>
          <w:spacing w:val="-1"/>
        </w:rPr>
        <w:t xml:space="preserve"> </w:t>
      </w:r>
      <w:r w:rsidRPr="00C46ED3">
        <w:t>Role</w:t>
      </w:r>
      <w:r w:rsidR="00A8717A">
        <w:t xml:space="preserve"> </w:t>
      </w:r>
      <w:r w:rsidRPr="00C46ED3">
        <w:rPr>
          <w:spacing w:val="-1"/>
        </w:rPr>
        <w:t>of</w:t>
      </w:r>
      <w:r w:rsidR="00A8717A">
        <w:rPr>
          <w:spacing w:val="-1"/>
        </w:rPr>
        <w:t xml:space="preserve"> </w:t>
      </w:r>
      <w:r w:rsidRPr="00C46ED3">
        <w:rPr>
          <w:spacing w:val="-1"/>
        </w:rPr>
        <w:t>the</w:t>
      </w:r>
      <w:r w:rsidR="00A8717A">
        <w:rPr>
          <w:spacing w:val="-1"/>
        </w:rPr>
        <w:t xml:space="preserve"> </w:t>
      </w:r>
      <w:r w:rsidRPr="00C46ED3">
        <w:rPr>
          <w:spacing w:val="-1"/>
        </w:rPr>
        <w:t>State.</w:t>
      </w:r>
      <w:r w:rsidR="00A8717A">
        <w:rPr>
          <w:spacing w:val="-1"/>
        </w:rPr>
        <w:t xml:space="preserve"> </w:t>
      </w:r>
      <w:r w:rsidRPr="00C46ED3">
        <w:rPr>
          <w:i/>
          <w:spacing w:val="-1"/>
        </w:rPr>
        <w:t>Population</w:t>
      </w:r>
      <w:r w:rsidR="00A8717A">
        <w:rPr>
          <w:i/>
          <w:spacing w:val="-1"/>
        </w:rPr>
        <w:t xml:space="preserve"> </w:t>
      </w:r>
      <w:r w:rsidRPr="00C46ED3">
        <w:rPr>
          <w:i/>
          <w:spacing w:val="-1"/>
        </w:rPr>
        <w:t>and</w:t>
      </w:r>
      <w:r w:rsidR="00A8717A">
        <w:rPr>
          <w:i/>
          <w:spacing w:val="-1"/>
        </w:rPr>
        <w:t xml:space="preserve"> </w:t>
      </w:r>
      <w:r w:rsidRPr="00C46ED3">
        <w:rPr>
          <w:i/>
          <w:spacing w:val="-1"/>
        </w:rPr>
        <w:t>Development</w:t>
      </w:r>
      <w:r w:rsidR="00A8717A">
        <w:rPr>
          <w:i/>
          <w:spacing w:val="-1"/>
        </w:rPr>
        <w:t xml:space="preserve"> </w:t>
      </w:r>
      <w:r w:rsidRPr="00C46ED3">
        <w:rPr>
          <w:i/>
        </w:rPr>
        <w:t>Review</w:t>
      </w:r>
      <w:r w:rsidR="00A8717A">
        <w:rPr>
          <w:i/>
        </w:rPr>
        <w:t xml:space="preserve"> </w:t>
      </w:r>
      <w:r w:rsidRPr="00C46ED3">
        <w:t>25</w:t>
      </w:r>
      <w:r w:rsidRPr="00C46ED3">
        <w:rPr>
          <w:spacing w:val="-1"/>
        </w:rPr>
        <w:t>(2):</w:t>
      </w:r>
      <w:r w:rsidR="00A8717A">
        <w:rPr>
          <w:spacing w:val="-1"/>
        </w:rPr>
        <w:t xml:space="preserve"> </w:t>
      </w:r>
      <w:r w:rsidRPr="00C46ED3">
        <w:rPr>
          <w:spacing w:val="-1"/>
        </w:rPr>
        <w:t>303-322.</w:t>
      </w:r>
    </w:p>
    <w:p w14:paraId="259D0BAF" w14:textId="77777777" w:rsidR="005F1585" w:rsidRPr="00C46ED3" w:rsidRDefault="005F1585" w:rsidP="00C46ED3">
      <w:pPr>
        <w:spacing w:after="0" w:line="480" w:lineRule="auto"/>
        <w:ind w:left="709" w:hanging="709"/>
        <w:jc w:val="both"/>
      </w:pPr>
      <w:r w:rsidRPr="000B1533">
        <w:t>Newland, Kathleen 2010. The Governance of International Migration: Mechanisms, Processes, and Institutions</w:t>
      </w:r>
      <w:r w:rsidRPr="00C46ED3">
        <w:t xml:space="preserve">, </w:t>
      </w:r>
      <w:r w:rsidRPr="00C46ED3">
        <w:rPr>
          <w:i/>
        </w:rPr>
        <w:t>Global Governance</w:t>
      </w:r>
      <w:r w:rsidRPr="00C46ED3">
        <w:t xml:space="preserve"> 16 (3): 331–345.</w:t>
      </w:r>
    </w:p>
    <w:p w14:paraId="14D5FCC3" w14:textId="77C8A3FC" w:rsidR="00D97A5D" w:rsidRPr="000B1533" w:rsidRDefault="00D97A5D" w:rsidP="00C46ED3">
      <w:pPr>
        <w:spacing w:after="0" w:line="480" w:lineRule="auto"/>
        <w:ind w:left="709" w:hanging="709"/>
        <w:jc w:val="both"/>
      </w:pPr>
      <w:r w:rsidRPr="00C46ED3">
        <w:rPr>
          <w:spacing w:val="-1"/>
        </w:rPr>
        <w:t>OECD,</w:t>
      </w:r>
      <w:r w:rsidR="00A8717A">
        <w:rPr>
          <w:spacing w:val="-1"/>
        </w:rPr>
        <w:t xml:space="preserve"> </w:t>
      </w:r>
      <w:r w:rsidRPr="00C46ED3">
        <w:rPr>
          <w:spacing w:val="-1"/>
        </w:rPr>
        <w:t>Trade</w:t>
      </w:r>
      <w:r w:rsidR="00A8717A">
        <w:rPr>
          <w:spacing w:val="-1"/>
        </w:rPr>
        <w:t xml:space="preserve"> </w:t>
      </w:r>
      <w:r w:rsidRPr="00C46ED3">
        <w:rPr>
          <w:spacing w:val="-1"/>
        </w:rPr>
        <w:t>Directorate.</w:t>
      </w:r>
      <w:r w:rsidR="00A8717A">
        <w:rPr>
          <w:spacing w:val="-1"/>
        </w:rPr>
        <w:t xml:space="preserve"> </w:t>
      </w:r>
      <w:r w:rsidRPr="00C46ED3">
        <w:rPr>
          <w:spacing w:val="-1"/>
        </w:rPr>
        <w:t>2002.</w:t>
      </w:r>
      <w:r w:rsidR="00A8717A">
        <w:rPr>
          <w:spacing w:val="-1"/>
        </w:rPr>
        <w:t xml:space="preserve"> </w:t>
      </w:r>
      <w:r w:rsidRPr="00C46ED3">
        <w:rPr>
          <w:spacing w:val="-1"/>
        </w:rPr>
        <w:t>Working</w:t>
      </w:r>
      <w:r w:rsidR="00A8717A">
        <w:rPr>
          <w:spacing w:val="-1"/>
        </w:rPr>
        <w:t xml:space="preserve"> </w:t>
      </w:r>
      <w:r w:rsidRPr="00C46ED3">
        <w:t>Party</w:t>
      </w:r>
      <w:r w:rsidR="00A8717A">
        <w:t xml:space="preserve"> </w:t>
      </w:r>
      <w:r w:rsidRPr="00C46ED3">
        <w:rPr>
          <w:spacing w:val="-1"/>
        </w:rPr>
        <w:t>of</w:t>
      </w:r>
      <w:r w:rsidR="00A8717A">
        <w:rPr>
          <w:spacing w:val="-1"/>
        </w:rPr>
        <w:t xml:space="preserve"> </w:t>
      </w:r>
      <w:r w:rsidRPr="00C46ED3">
        <w:t>the</w:t>
      </w:r>
      <w:r w:rsidR="00A8717A">
        <w:t xml:space="preserve"> </w:t>
      </w:r>
      <w:r w:rsidRPr="00C46ED3">
        <w:rPr>
          <w:spacing w:val="-1"/>
        </w:rPr>
        <w:t>Trade</w:t>
      </w:r>
      <w:r w:rsidR="00A8717A">
        <w:rPr>
          <w:spacing w:val="-1"/>
        </w:rPr>
        <w:t xml:space="preserve"> </w:t>
      </w:r>
      <w:r w:rsidRPr="00C46ED3">
        <w:rPr>
          <w:spacing w:val="-1"/>
        </w:rPr>
        <w:t>Committee:</w:t>
      </w:r>
      <w:r w:rsidR="00A8717A">
        <w:rPr>
          <w:spacing w:val="-1"/>
        </w:rPr>
        <w:t xml:space="preserve"> </w:t>
      </w:r>
      <w:r w:rsidRPr="00C46ED3">
        <w:rPr>
          <w:spacing w:val="-1"/>
        </w:rPr>
        <w:t>Service</w:t>
      </w:r>
      <w:r w:rsidR="00A8717A">
        <w:rPr>
          <w:spacing w:val="-1"/>
        </w:rPr>
        <w:t xml:space="preserve"> </w:t>
      </w:r>
      <w:r w:rsidRPr="00C46ED3">
        <w:rPr>
          <w:spacing w:val="-1"/>
        </w:rPr>
        <w:t>Providers</w:t>
      </w:r>
      <w:r w:rsidR="00A8717A">
        <w:rPr>
          <w:spacing w:val="-1"/>
        </w:rPr>
        <w:t xml:space="preserve"> </w:t>
      </w:r>
      <w:r w:rsidRPr="00C46ED3">
        <w:t>on</w:t>
      </w:r>
      <w:r w:rsidR="00A8717A">
        <w:t xml:space="preserve"> </w:t>
      </w:r>
      <w:r w:rsidRPr="00C46ED3">
        <w:t>the</w:t>
      </w:r>
      <w:r w:rsidR="00A8717A">
        <w:t xml:space="preserve"> </w:t>
      </w:r>
      <w:r w:rsidRPr="00C46ED3">
        <w:rPr>
          <w:spacing w:val="-1"/>
        </w:rPr>
        <w:t>Move:</w:t>
      </w:r>
      <w:r w:rsidR="00A8717A">
        <w:rPr>
          <w:spacing w:val="-1"/>
        </w:rPr>
        <w:t xml:space="preserve"> </w:t>
      </w:r>
      <w:r w:rsidRPr="00C46ED3">
        <w:t>A</w:t>
      </w:r>
      <w:r w:rsidR="00A8717A">
        <w:t xml:space="preserve"> </w:t>
      </w:r>
      <w:r w:rsidRPr="00C46ED3">
        <w:rPr>
          <w:spacing w:val="-1"/>
        </w:rPr>
        <w:t>Closer</w:t>
      </w:r>
      <w:r w:rsidR="00A8717A">
        <w:rPr>
          <w:spacing w:val="-1"/>
        </w:rPr>
        <w:t xml:space="preserve"> </w:t>
      </w:r>
      <w:r w:rsidRPr="00C46ED3">
        <w:rPr>
          <w:spacing w:val="-1"/>
        </w:rPr>
        <w:t>Look</w:t>
      </w:r>
      <w:r w:rsidR="00A8717A">
        <w:rPr>
          <w:spacing w:val="-1"/>
        </w:rPr>
        <w:t xml:space="preserve"> </w:t>
      </w:r>
      <w:r w:rsidRPr="00C46ED3">
        <w:rPr>
          <w:spacing w:val="-1"/>
        </w:rPr>
        <w:t>at</w:t>
      </w:r>
      <w:r w:rsidR="00A8717A">
        <w:rPr>
          <w:spacing w:val="-1"/>
        </w:rPr>
        <w:t xml:space="preserve"> </w:t>
      </w:r>
      <w:r w:rsidRPr="00C46ED3">
        <w:rPr>
          <w:spacing w:val="-1"/>
        </w:rPr>
        <w:t>Labour</w:t>
      </w:r>
      <w:r w:rsidR="00A8717A">
        <w:rPr>
          <w:spacing w:val="-1"/>
        </w:rPr>
        <w:t xml:space="preserve"> </w:t>
      </w:r>
      <w:r w:rsidRPr="00C46ED3">
        <w:rPr>
          <w:spacing w:val="-1"/>
        </w:rPr>
        <w:t>Mobility</w:t>
      </w:r>
      <w:r w:rsidR="00A8717A">
        <w:rPr>
          <w:spacing w:val="-1"/>
        </w:rPr>
        <w:t xml:space="preserve"> </w:t>
      </w:r>
      <w:r w:rsidRPr="00C46ED3">
        <w:rPr>
          <w:spacing w:val="-1"/>
        </w:rPr>
        <w:t>and</w:t>
      </w:r>
      <w:r w:rsidR="00A8717A">
        <w:rPr>
          <w:spacing w:val="-1"/>
        </w:rPr>
        <w:t xml:space="preserve"> </w:t>
      </w:r>
      <w:r w:rsidRPr="00C46ED3">
        <w:rPr>
          <w:spacing w:val="-1"/>
        </w:rPr>
        <w:t>the</w:t>
      </w:r>
      <w:r w:rsidR="00A8717A">
        <w:rPr>
          <w:spacing w:val="-1"/>
        </w:rPr>
        <w:t xml:space="preserve"> </w:t>
      </w:r>
      <w:r w:rsidRPr="00C46ED3">
        <w:rPr>
          <w:spacing w:val="-1"/>
        </w:rPr>
        <w:t>GATS.</w:t>
      </w:r>
      <w:r w:rsidR="00A8717A">
        <w:rPr>
          <w:spacing w:val="-1"/>
        </w:rPr>
        <w:t xml:space="preserve"> </w:t>
      </w:r>
      <w:r w:rsidRPr="00C46ED3">
        <w:rPr>
          <w:i/>
          <w:spacing w:val="-1"/>
        </w:rPr>
        <w:t>TD/TC/WP(2001)26/final</w:t>
      </w:r>
      <w:r w:rsidRPr="000B1533">
        <w:rPr>
          <w:spacing w:val="-1"/>
        </w:rPr>
        <w:t>.</w:t>
      </w:r>
    </w:p>
    <w:p w14:paraId="704E838D" w14:textId="77777777" w:rsidR="005F1585" w:rsidRPr="00C46ED3" w:rsidRDefault="005F1585" w:rsidP="00C46ED3">
      <w:pPr>
        <w:spacing w:after="0" w:line="480" w:lineRule="auto"/>
        <w:ind w:left="709" w:hanging="709"/>
        <w:jc w:val="both"/>
      </w:pPr>
      <w:r w:rsidRPr="000B1533">
        <w:t>Panizzon, Marion 2010.</w:t>
      </w:r>
      <w:r w:rsidRPr="00C46ED3">
        <w:t>Trade and labor migration, GATS Mode 4 and migration agreements,</w:t>
      </w:r>
      <w:r w:rsidRPr="00C46ED3">
        <w:rPr>
          <w:i/>
        </w:rPr>
        <w:t xml:space="preserve"> Friedrich-Ebert-Stiftung, Dialogue on Globalization Occasional Paper,</w:t>
      </w:r>
      <w:r w:rsidRPr="00C46ED3">
        <w:t xml:space="preserve"> N 47, Geneva.</w:t>
      </w:r>
    </w:p>
    <w:p w14:paraId="0F19B9B4" w14:textId="4EAECC75" w:rsidR="005F1585" w:rsidRPr="00C46ED3" w:rsidRDefault="005F1585" w:rsidP="00C46ED3">
      <w:pPr>
        <w:pStyle w:val="Textkrper"/>
        <w:spacing w:line="480" w:lineRule="auto"/>
        <w:ind w:left="709" w:hanging="709"/>
        <w:jc w:val="both"/>
        <w:rPr>
          <w:rFonts w:asciiTheme="minorHAnsi" w:hAnsiTheme="minorHAnsi"/>
          <w:sz w:val="22"/>
          <w:szCs w:val="22"/>
        </w:rPr>
      </w:pPr>
      <w:r w:rsidRPr="00C46ED3">
        <w:rPr>
          <w:rFonts w:asciiTheme="minorHAnsi" w:hAnsiTheme="minorHAnsi"/>
          <w:spacing w:val="-1"/>
          <w:sz w:val="22"/>
          <w:szCs w:val="22"/>
        </w:rPr>
        <w:t>Sapir,</w:t>
      </w:r>
      <w:r w:rsidR="00E07EE7">
        <w:rPr>
          <w:rFonts w:asciiTheme="minorHAnsi" w:hAnsiTheme="minorHAnsi"/>
          <w:spacing w:val="-1"/>
          <w:sz w:val="22"/>
          <w:szCs w:val="22"/>
        </w:rPr>
        <w:t xml:space="preserve"> </w:t>
      </w:r>
      <w:r w:rsidRPr="00C46ED3">
        <w:rPr>
          <w:rFonts w:asciiTheme="minorHAnsi" w:hAnsiTheme="minorHAnsi"/>
          <w:spacing w:val="-1"/>
          <w:sz w:val="22"/>
          <w:szCs w:val="22"/>
        </w:rPr>
        <w:t>André.</w:t>
      </w:r>
      <w:r w:rsidR="00E07EE7">
        <w:rPr>
          <w:rFonts w:asciiTheme="minorHAnsi" w:hAnsiTheme="minorHAnsi"/>
          <w:spacing w:val="-1"/>
          <w:sz w:val="22"/>
          <w:szCs w:val="22"/>
        </w:rPr>
        <w:t xml:space="preserve"> </w:t>
      </w:r>
      <w:r w:rsidRPr="00C46ED3">
        <w:rPr>
          <w:rFonts w:asciiTheme="minorHAnsi" w:hAnsiTheme="minorHAnsi"/>
          <w:spacing w:val="-1"/>
          <w:sz w:val="22"/>
          <w:szCs w:val="22"/>
        </w:rPr>
        <w:t>1999.</w:t>
      </w:r>
      <w:r w:rsidR="00E07EE7">
        <w:rPr>
          <w:rFonts w:asciiTheme="minorHAnsi" w:hAnsiTheme="minorHAnsi"/>
          <w:spacing w:val="-1"/>
          <w:sz w:val="22"/>
          <w:szCs w:val="22"/>
        </w:rPr>
        <w:t xml:space="preserve"> </w:t>
      </w:r>
      <w:r w:rsidRPr="00C46ED3">
        <w:rPr>
          <w:rFonts w:asciiTheme="minorHAnsi" w:hAnsiTheme="minorHAnsi"/>
          <w:sz w:val="22"/>
          <w:szCs w:val="22"/>
        </w:rPr>
        <w:t>The</w:t>
      </w:r>
      <w:r w:rsidR="00E07EE7">
        <w:rPr>
          <w:rFonts w:asciiTheme="minorHAnsi" w:hAnsiTheme="minorHAnsi"/>
          <w:sz w:val="22"/>
          <w:szCs w:val="22"/>
        </w:rPr>
        <w:t xml:space="preserve"> </w:t>
      </w:r>
      <w:r w:rsidRPr="00C46ED3">
        <w:rPr>
          <w:rFonts w:asciiTheme="minorHAnsi" w:hAnsiTheme="minorHAnsi"/>
          <w:spacing w:val="-1"/>
          <w:sz w:val="22"/>
          <w:szCs w:val="22"/>
        </w:rPr>
        <w:t>General</w:t>
      </w:r>
      <w:r w:rsidR="00E07EE7">
        <w:rPr>
          <w:rFonts w:asciiTheme="minorHAnsi" w:hAnsiTheme="minorHAnsi"/>
          <w:spacing w:val="-1"/>
          <w:sz w:val="22"/>
          <w:szCs w:val="22"/>
        </w:rPr>
        <w:t xml:space="preserve"> </w:t>
      </w:r>
      <w:r w:rsidRPr="00C46ED3">
        <w:rPr>
          <w:rFonts w:asciiTheme="minorHAnsi" w:hAnsiTheme="minorHAnsi"/>
          <w:spacing w:val="-1"/>
          <w:sz w:val="22"/>
          <w:szCs w:val="22"/>
        </w:rPr>
        <w:t>Agreement</w:t>
      </w:r>
      <w:r w:rsidR="00E07EE7">
        <w:rPr>
          <w:rFonts w:asciiTheme="minorHAnsi" w:hAnsiTheme="minorHAnsi"/>
          <w:spacing w:val="-1"/>
          <w:sz w:val="22"/>
          <w:szCs w:val="22"/>
        </w:rPr>
        <w:t xml:space="preserve"> </w:t>
      </w:r>
      <w:r w:rsidRPr="00C46ED3">
        <w:rPr>
          <w:rFonts w:asciiTheme="minorHAnsi" w:hAnsiTheme="minorHAnsi"/>
          <w:sz w:val="22"/>
          <w:szCs w:val="22"/>
        </w:rPr>
        <w:t>on</w:t>
      </w:r>
      <w:r w:rsidR="00E07EE7">
        <w:rPr>
          <w:rFonts w:asciiTheme="minorHAnsi" w:hAnsiTheme="minorHAnsi"/>
          <w:sz w:val="22"/>
          <w:szCs w:val="22"/>
        </w:rPr>
        <w:t xml:space="preserve"> </w:t>
      </w:r>
      <w:r w:rsidRPr="00C46ED3">
        <w:rPr>
          <w:rFonts w:asciiTheme="minorHAnsi" w:hAnsiTheme="minorHAnsi"/>
          <w:spacing w:val="-1"/>
          <w:sz w:val="22"/>
          <w:szCs w:val="22"/>
        </w:rPr>
        <w:t>Trade</w:t>
      </w:r>
      <w:r w:rsidR="00E07EE7">
        <w:rPr>
          <w:rFonts w:asciiTheme="minorHAnsi" w:hAnsiTheme="minorHAnsi"/>
          <w:spacing w:val="-1"/>
          <w:sz w:val="22"/>
          <w:szCs w:val="22"/>
        </w:rPr>
        <w:t xml:space="preserve"> </w:t>
      </w:r>
      <w:r w:rsidRPr="00C46ED3">
        <w:rPr>
          <w:rFonts w:asciiTheme="minorHAnsi" w:hAnsiTheme="minorHAnsi"/>
          <w:spacing w:val="-1"/>
          <w:sz w:val="22"/>
          <w:szCs w:val="22"/>
        </w:rPr>
        <w:t>in</w:t>
      </w:r>
      <w:r w:rsidR="00E07EE7">
        <w:rPr>
          <w:rFonts w:asciiTheme="minorHAnsi" w:hAnsiTheme="minorHAnsi"/>
          <w:spacing w:val="-1"/>
          <w:sz w:val="22"/>
          <w:szCs w:val="22"/>
        </w:rPr>
        <w:t xml:space="preserve"> </w:t>
      </w:r>
      <w:r w:rsidRPr="00C46ED3">
        <w:rPr>
          <w:rFonts w:asciiTheme="minorHAnsi" w:hAnsiTheme="minorHAnsi"/>
          <w:spacing w:val="-1"/>
          <w:sz w:val="22"/>
          <w:szCs w:val="22"/>
        </w:rPr>
        <w:t>Services.</w:t>
      </w:r>
      <w:r w:rsidR="00E07EE7">
        <w:rPr>
          <w:rFonts w:asciiTheme="minorHAnsi" w:hAnsiTheme="minorHAnsi"/>
          <w:spacing w:val="-1"/>
          <w:sz w:val="22"/>
          <w:szCs w:val="22"/>
        </w:rPr>
        <w:t xml:space="preserve"> </w:t>
      </w:r>
      <w:r w:rsidRPr="00C46ED3">
        <w:rPr>
          <w:rFonts w:asciiTheme="minorHAnsi" w:hAnsiTheme="minorHAnsi"/>
          <w:spacing w:val="-1"/>
          <w:sz w:val="22"/>
          <w:szCs w:val="22"/>
        </w:rPr>
        <w:t>From</w:t>
      </w:r>
      <w:r w:rsidR="00E07EE7">
        <w:rPr>
          <w:rFonts w:asciiTheme="minorHAnsi" w:hAnsiTheme="minorHAnsi"/>
          <w:spacing w:val="-1"/>
          <w:sz w:val="22"/>
          <w:szCs w:val="22"/>
        </w:rPr>
        <w:t xml:space="preserve"> </w:t>
      </w:r>
      <w:r w:rsidRPr="00C46ED3">
        <w:rPr>
          <w:rFonts w:asciiTheme="minorHAnsi" w:hAnsiTheme="minorHAnsi"/>
          <w:sz w:val="22"/>
          <w:szCs w:val="22"/>
        </w:rPr>
        <w:t>1994</w:t>
      </w:r>
      <w:r w:rsidR="00E07EE7">
        <w:rPr>
          <w:rFonts w:asciiTheme="minorHAnsi" w:hAnsiTheme="minorHAnsi"/>
          <w:sz w:val="22"/>
          <w:szCs w:val="22"/>
        </w:rPr>
        <w:t xml:space="preserve"> </w:t>
      </w:r>
      <w:r w:rsidRPr="00C46ED3">
        <w:rPr>
          <w:rFonts w:asciiTheme="minorHAnsi" w:hAnsiTheme="minorHAnsi"/>
          <w:spacing w:val="-1"/>
          <w:sz w:val="22"/>
          <w:szCs w:val="22"/>
        </w:rPr>
        <w:t>to</w:t>
      </w:r>
      <w:r w:rsidR="00E07EE7">
        <w:rPr>
          <w:rFonts w:asciiTheme="minorHAnsi" w:hAnsiTheme="minorHAnsi"/>
          <w:spacing w:val="-1"/>
          <w:sz w:val="22"/>
          <w:szCs w:val="22"/>
        </w:rPr>
        <w:t xml:space="preserve"> </w:t>
      </w:r>
      <w:r w:rsidRPr="00C46ED3">
        <w:rPr>
          <w:rFonts w:asciiTheme="minorHAnsi" w:hAnsiTheme="minorHAnsi"/>
          <w:spacing w:val="-1"/>
          <w:sz w:val="22"/>
          <w:szCs w:val="22"/>
        </w:rPr>
        <w:t>the</w:t>
      </w:r>
      <w:r w:rsidR="00E07EE7">
        <w:rPr>
          <w:rFonts w:asciiTheme="minorHAnsi" w:hAnsiTheme="minorHAnsi"/>
          <w:spacing w:val="-1"/>
          <w:sz w:val="22"/>
          <w:szCs w:val="22"/>
        </w:rPr>
        <w:t xml:space="preserve"> </w:t>
      </w:r>
      <w:r w:rsidRPr="00C46ED3">
        <w:rPr>
          <w:rFonts w:asciiTheme="minorHAnsi" w:hAnsiTheme="minorHAnsi"/>
          <w:spacing w:val="-1"/>
          <w:sz w:val="22"/>
          <w:szCs w:val="22"/>
        </w:rPr>
        <w:t>Year</w:t>
      </w:r>
      <w:r w:rsidR="00E07EE7">
        <w:rPr>
          <w:rFonts w:asciiTheme="minorHAnsi" w:hAnsiTheme="minorHAnsi"/>
          <w:spacing w:val="-1"/>
          <w:sz w:val="22"/>
          <w:szCs w:val="22"/>
        </w:rPr>
        <w:t xml:space="preserve"> </w:t>
      </w:r>
      <w:r w:rsidRPr="00C46ED3">
        <w:rPr>
          <w:rFonts w:asciiTheme="minorHAnsi" w:hAnsiTheme="minorHAnsi"/>
          <w:spacing w:val="-1"/>
          <w:sz w:val="22"/>
          <w:szCs w:val="22"/>
        </w:rPr>
        <w:t>2000.</w:t>
      </w:r>
      <w:r w:rsidR="00AD4801">
        <w:rPr>
          <w:rFonts w:asciiTheme="minorHAnsi" w:hAnsiTheme="minorHAnsi"/>
          <w:spacing w:val="-1"/>
          <w:sz w:val="22"/>
          <w:szCs w:val="22"/>
        </w:rPr>
        <w:t xml:space="preserve"> </w:t>
      </w:r>
      <w:r w:rsidRPr="00C46ED3">
        <w:rPr>
          <w:rFonts w:asciiTheme="minorHAnsi" w:hAnsiTheme="minorHAnsi"/>
          <w:i/>
          <w:spacing w:val="-1"/>
          <w:sz w:val="22"/>
          <w:szCs w:val="22"/>
        </w:rPr>
        <w:t>Journal</w:t>
      </w:r>
      <w:r w:rsidR="00E07EE7">
        <w:rPr>
          <w:rFonts w:asciiTheme="minorHAnsi" w:hAnsiTheme="minorHAnsi"/>
          <w:i/>
          <w:spacing w:val="-1"/>
          <w:sz w:val="22"/>
          <w:szCs w:val="22"/>
        </w:rPr>
        <w:t xml:space="preserve"> </w:t>
      </w:r>
      <w:r w:rsidRPr="00C46ED3">
        <w:rPr>
          <w:rFonts w:asciiTheme="minorHAnsi" w:hAnsiTheme="minorHAnsi"/>
          <w:i/>
          <w:sz w:val="22"/>
          <w:szCs w:val="22"/>
        </w:rPr>
        <w:t>of</w:t>
      </w:r>
      <w:r w:rsidR="00E07EE7">
        <w:rPr>
          <w:rFonts w:asciiTheme="minorHAnsi" w:hAnsiTheme="minorHAnsi"/>
          <w:i/>
          <w:sz w:val="22"/>
          <w:szCs w:val="22"/>
        </w:rPr>
        <w:t xml:space="preserve"> </w:t>
      </w:r>
      <w:r w:rsidRPr="00C46ED3">
        <w:rPr>
          <w:rFonts w:asciiTheme="minorHAnsi" w:hAnsiTheme="minorHAnsi"/>
          <w:i/>
          <w:spacing w:val="-2"/>
          <w:sz w:val="22"/>
          <w:szCs w:val="22"/>
        </w:rPr>
        <w:t>World</w:t>
      </w:r>
      <w:r w:rsidR="00E07EE7">
        <w:rPr>
          <w:rFonts w:asciiTheme="minorHAnsi" w:hAnsiTheme="minorHAnsi"/>
          <w:i/>
          <w:spacing w:val="-2"/>
          <w:sz w:val="22"/>
          <w:szCs w:val="22"/>
        </w:rPr>
        <w:t xml:space="preserve"> </w:t>
      </w:r>
      <w:r w:rsidRPr="00C46ED3">
        <w:rPr>
          <w:rFonts w:asciiTheme="minorHAnsi" w:hAnsiTheme="minorHAnsi"/>
          <w:i/>
          <w:spacing w:val="-1"/>
          <w:sz w:val="22"/>
          <w:szCs w:val="22"/>
        </w:rPr>
        <w:t>Trade</w:t>
      </w:r>
      <w:r w:rsidR="00E07EE7">
        <w:rPr>
          <w:rFonts w:asciiTheme="minorHAnsi" w:hAnsiTheme="minorHAnsi"/>
          <w:i/>
          <w:spacing w:val="-1"/>
          <w:sz w:val="22"/>
          <w:szCs w:val="22"/>
        </w:rPr>
        <w:t xml:space="preserve"> </w:t>
      </w:r>
      <w:r w:rsidRPr="00C46ED3">
        <w:rPr>
          <w:rFonts w:asciiTheme="minorHAnsi" w:hAnsiTheme="minorHAnsi"/>
          <w:sz w:val="22"/>
          <w:szCs w:val="22"/>
        </w:rPr>
        <w:t>33</w:t>
      </w:r>
      <w:r w:rsidRPr="00C46ED3">
        <w:rPr>
          <w:rFonts w:asciiTheme="minorHAnsi" w:hAnsiTheme="minorHAnsi"/>
          <w:spacing w:val="-1"/>
          <w:sz w:val="22"/>
          <w:szCs w:val="22"/>
        </w:rPr>
        <w:t>(1):</w:t>
      </w:r>
      <w:r w:rsidR="00E07EE7">
        <w:rPr>
          <w:rFonts w:asciiTheme="minorHAnsi" w:hAnsiTheme="minorHAnsi"/>
          <w:spacing w:val="-1"/>
          <w:sz w:val="22"/>
          <w:szCs w:val="22"/>
        </w:rPr>
        <w:t xml:space="preserve"> </w:t>
      </w:r>
      <w:r w:rsidRPr="00C46ED3">
        <w:rPr>
          <w:rFonts w:asciiTheme="minorHAnsi" w:hAnsiTheme="minorHAnsi"/>
          <w:spacing w:val="-1"/>
          <w:sz w:val="22"/>
          <w:szCs w:val="22"/>
        </w:rPr>
        <w:t>51-66.</w:t>
      </w:r>
    </w:p>
    <w:p w14:paraId="68F5DD12" w14:textId="1FA18554" w:rsidR="005F1585" w:rsidRPr="00C46ED3" w:rsidRDefault="005F1585" w:rsidP="00C46ED3">
      <w:pPr>
        <w:spacing w:after="0" w:line="480" w:lineRule="auto"/>
        <w:ind w:left="709" w:hanging="709"/>
        <w:jc w:val="both"/>
        <w:rPr>
          <w:spacing w:val="-1"/>
        </w:rPr>
      </w:pPr>
      <w:r w:rsidRPr="00C46ED3">
        <w:rPr>
          <w:spacing w:val="-1"/>
        </w:rPr>
        <w:t>Sassen,</w:t>
      </w:r>
      <w:r w:rsidR="00E07EE7">
        <w:rPr>
          <w:spacing w:val="-1"/>
        </w:rPr>
        <w:t xml:space="preserve"> </w:t>
      </w:r>
      <w:r w:rsidRPr="00C46ED3">
        <w:rPr>
          <w:spacing w:val="-1"/>
        </w:rPr>
        <w:t>Saskia.</w:t>
      </w:r>
      <w:r w:rsidR="00E07EE7">
        <w:rPr>
          <w:spacing w:val="-1"/>
        </w:rPr>
        <w:t xml:space="preserve"> </w:t>
      </w:r>
      <w:r w:rsidRPr="00C46ED3">
        <w:rPr>
          <w:spacing w:val="-1"/>
        </w:rPr>
        <w:t>1998.</w:t>
      </w:r>
      <w:r w:rsidR="00E07EE7">
        <w:rPr>
          <w:spacing w:val="-1"/>
        </w:rPr>
        <w:t xml:space="preserve"> </w:t>
      </w:r>
      <w:r w:rsidRPr="00C46ED3">
        <w:rPr>
          <w:i/>
          <w:spacing w:val="-1"/>
        </w:rPr>
        <w:t>Globalization</w:t>
      </w:r>
      <w:r w:rsidR="00E07EE7">
        <w:rPr>
          <w:i/>
          <w:spacing w:val="-1"/>
        </w:rPr>
        <w:t xml:space="preserve"> </w:t>
      </w:r>
      <w:r w:rsidRPr="00C46ED3">
        <w:rPr>
          <w:i/>
          <w:spacing w:val="-1"/>
        </w:rPr>
        <w:t>and</w:t>
      </w:r>
      <w:r w:rsidR="00E07EE7">
        <w:rPr>
          <w:i/>
          <w:spacing w:val="-1"/>
        </w:rPr>
        <w:t xml:space="preserve"> </w:t>
      </w:r>
      <w:r w:rsidRPr="00C46ED3">
        <w:rPr>
          <w:i/>
          <w:spacing w:val="-1"/>
        </w:rPr>
        <w:t>Its</w:t>
      </w:r>
      <w:r w:rsidR="00E07EE7">
        <w:rPr>
          <w:i/>
          <w:spacing w:val="-1"/>
        </w:rPr>
        <w:t xml:space="preserve"> </w:t>
      </w:r>
      <w:r w:rsidRPr="00C46ED3">
        <w:rPr>
          <w:i/>
          <w:spacing w:val="-1"/>
        </w:rPr>
        <w:t>Discontents.</w:t>
      </w:r>
      <w:r w:rsidR="00E07EE7">
        <w:rPr>
          <w:i/>
          <w:spacing w:val="-1"/>
        </w:rPr>
        <w:t xml:space="preserve"> </w:t>
      </w:r>
      <w:r w:rsidRPr="00C46ED3">
        <w:rPr>
          <w:i/>
          <w:spacing w:val="-1"/>
        </w:rPr>
        <w:t>Essays</w:t>
      </w:r>
      <w:r w:rsidR="00E07EE7">
        <w:rPr>
          <w:i/>
          <w:spacing w:val="-1"/>
        </w:rPr>
        <w:t xml:space="preserve"> </w:t>
      </w:r>
      <w:r w:rsidRPr="00C46ED3">
        <w:rPr>
          <w:i/>
        </w:rPr>
        <w:t>on</w:t>
      </w:r>
      <w:r w:rsidR="00E07EE7">
        <w:rPr>
          <w:i/>
        </w:rPr>
        <w:t xml:space="preserve"> </w:t>
      </w:r>
      <w:r w:rsidRPr="00C46ED3">
        <w:rPr>
          <w:i/>
        </w:rPr>
        <w:t>the</w:t>
      </w:r>
      <w:r w:rsidR="00E07EE7">
        <w:rPr>
          <w:i/>
        </w:rPr>
        <w:t xml:space="preserve"> </w:t>
      </w:r>
      <w:r w:rsidRPr="00C46ED3">
        <w:rPr>
          <w:i/>
        </w:rPr>
        <w:t>new</w:t>
      </w:r>
      <w:r w:rsidR="00E07EE7">
        <w:rPr>
          <w:i/>
        </w:rPr>
        <w:t xml:space="preserve"> </w:t>
      </w:r>
      <w:r w:rsidRPr="00C46ED3">
        <w:rPr>
          <w:i/>
          <w:spacing w:val="-1"/>
        </w:rPr>
        <w:t>mobility</w:t>
      </w:r>
      <w:r w:rsidR="00E07EE7">
        <w:rPr>
          <w:i/>
          <w:spacing w:val="-1"/>
        </w:rPr>
        <w:t xml:space="preserve"> </w:t>
      </w:r>
      <w:r w:rsidRPr="00C46ED3">
        <w:rPr>
          <w:i/>
        </w:rPr>
        <w:t>of</w:t>
      </w:r>
      <w:r w:rsidR="00E07EE7">
        <w:rPr>
          <w:i/>
        </w:rPr>
        <w:t xml:space="preserve"> </w:t>
      </w:r>
      <w:r w:rsidRPr="00C46ED3">
        <w:rPr>
          <w:i/>
          <w:spacing w:val="-1"/>
        </w:rPr>
        <w:t>people</w:t>
      </w:r>
      <w:r w:rsidR="00E07EE7">
        <w:rPr>
          <w:i/>
          <w:spacing w:val="-1"/>
        </w:rPr>
        <w:t xml:space="preserve"> </w:t>
      </w:r>
      <w:r w:rsidRPr="00C46ED3">
        <w:rPr>
          <w:i/>
        </w:rPr>
        <w:t>and</w:t>
      </w:r>
      <w:r w:rsidR="00E07EE7">
        <w:rPr>
          <w:i/>
        </w:rPr>
        <w:t xml:space="preserve"> </w:t>
      </w:r>
      <w:r w:rsidRPr="00C46ED3">
        <w:rPr>
          <w:i/>
          <w:spacing w:val="-1"/>
        </w:rPr>
        <w:t>money</w:t>
      </w:r>
      <w:r w:rsidRPr="00C46ED3">
        <w:rPr>
          <w:spacing w:val="-1"/>
        </w:rPr>
        <w:t>.</w:t>
      </w:r>
      <w:r w:rsidR="00E07EE7">
        <w:rPr>
          <w:spacing w:val="-1"/>
        </w:rPr>
        <w:t xml:space="preserve"> </w:t>
      </w:r>
      <w:r w:rsidRPr="00C46ED3">
        <w:rPr>
          <w:spacing w:val="-1"/>
        </w:rPr>
        <w:t>New</w:t>
      </w:r>
      <w:r w:rsidR="00E07EE7">
        <w:rPr>
          <w:spacing w:val="-1"/>
        </w:rPr>
        <w:t xml:space="preserve"> </w:t>
      </w:r>
      <w:r w:rsidRPr="00C46ED3">
        <w:rPr>
          <w:spacing w:val="-1"/>
        </w:rPr>
        <w:t>York:</w:t>
      </w:r>
      <w:r w:rsidR="00E07EE7">
        <w:rPr>
          <w:spacing w:val="-1"/>
        </w:rPr>
        <w:t xml:space="preserve"> </w:t>
      </w:r>
      <w:r w:rsidRPr="00C46ED3">
        <w:t>The</w:t>
      </w:r>
      <w:r w:rsidR="00E07EE7">
        <w:t xml:space="preserve"> </w:t>
      </w:r>
      <w:r w:rsidRPr="00C46ED3">
        <w:rPr>
          <w:spacing w:val="-1"/>
        </w:rPr>
        <w:t>New</w:t>
      </w:r>
      <w:r w:rsidR="00E07EE7">
        <w:rPr>
          <w:spacing w:val="-1"/>
        </w:rPr>
        <w:t xml:space="preserve"> </w:t>
      </w:r>
      <w:r w:rsidRPr="00C46ED3">
        <w:rPr>
          <w:spacing w:val="-1"/>
        </w:rPr>
        <w:t>Press.</w:t>
      </w:r>
    </w:p>
    <w:p w14:paraId="3B2EDB99" w14:textId="52AFE51A" w:rsidR="00D97A5D" w:rsidRPr="00C46ED3" w:rsidRDefault="00D97A5D" w:rsidP="00C46ED3">
      <w:pPr>
        <w:spacing w:after="0" w:line="480" w:lineRule="auto"/>
        <w:ind w:left="709" w:hanging="709"/>
        <w:jc w:val="both"/>
        <w:rPr>
          <w:rFonts w:eastAsia="Times New Roman" w:cs="Times New Roman"/>
        </w:rPr>
      </w:pPr>
      <w:r w:rsidRPr="00C46ED3">
        <w:rPr>
          <w:spacing w:val="-1"/>
        </w:rPr>
        <w:t>WTO.</w:t>
      </w:r>
      <w:r w:rsidR="00E07EE7">
        <w:rPr>
          <w:spacing w:val="-1"/>
        </w:rPr>
        <w:t xml:space="preserve"> </w:t>
      </w:r>
      <w:r w:rsidRPr="00C46ED3">
        <w:rPr>
          <w:spacing w:val="-1"/>
        </w:rPr>
        <w:t>1998.</w:t>
      </w:r>
      <w:r w:rsidR="00E07EE7">
        <w:rPr>
          <w:spacing w:val="-1"/>
        </w:rPr>
        <w:t xml:space="preserve"> </w:t>
      </w:r>
      <w:r w:rsidRPr="00C46ED3">
        <w:rPr>
          <w:i/>
          <w:spacing w:val="-1"/>
        </w:rPr>
        <w:t>Council</w:t>
      </w:r>
      <w:r w:rsidR="00E07EE7">
        <w:rPr>
          <w:i/>
          <w:spacing w:val="-1"/>
        </w:rPr>
        <w:t xml:space="preserve"> </w:t>
      </w:r>
      <w:r w:rsidRPr="00C46ED3">
        <w:rPr>
          <w:i/>
          <w:spacing w:val="-1"/>
        </w:rPr>
        <w:t>for</w:t>
      </w:r>
      <w:r w:rsidR="00E07EE7">
        <w:rPr>
          <w:i/>
          <w:spacing w:val="-1"/>
        </w:rPr>
        <w:t xml:space="preserve"> </w:t>
      </w:r>
      <w:r w:rsidRPr="00C46ED3">
        <w:rPr>
          <w:i/>
          <w:spacing w:val="-1"/>
        </w:rPr>
        <w:t>Trade</w:t>
      </w:r>
      <w:r w:rsidR="00E07EE7">
        <w:rPr>
          <w:i/>
          <w:spacing w:val="-1"/>
        </w:rPr>
        <w:t xml:space="preserve"> </w:t>
      </w:r>
      <w:r w:rsidRPr="00C46ED3">
        <w:rPr>
          <w:i/>
          <w:spacing w:val="-1"/>
        </w:rPr>
        <w:t>in</w:t>
      </w:r>
      <w:r w:rsidR="00E07EE7">
        <w:rPr>
          <w:i/>
          <w:spacing w:val="-1"/>
        </w:rPr>
        <w:t xml:space="preserve"> </w:t>
      </w:r>
      <w:r w:rsidRPr="00C46ED3">
        <w:rPr>
          <w:i/>
          <w:spacing w:val="-1"/>
        </w:rPr>
        <w:t>Services,</w:t>
      </w:r>
      <w:r w:rsidR="00E07EE7">
        <w:rPr>
          <w:i/>
          <w:spacing w:val="-1"/>
        </w:rPr>
        <w:t xml:space="preserve"> </w:t>
      </w:r>
      <w:r w:rsidRPr="00C46ED3">
        <w:rPr>
          <w:i/>
          <w:spacing w:val="-1"/>
        </w:rPr>
        <w:t>Presence</w:t>
      </w:r>
      <w:r w:rsidR="00E07EE7">
        <w:rPr>
          <w:i/>
          <w:spacing w:val="-1"/>
        </w:rPr>
        <w:t xml:space="preserve"> </w:t>
      </w:r>
      <w:r w:rsidRPr="00C46ED3">
        <w:rPr>
          <w:i/>
          <w:spacing w:val="-1"/>
        </w:rPr>
        <w:t>of</w:t>
      </w:r>
      <w:r w:rsidR="00E07EE7">
        <w:rPr>
          <w:i/>
          <w:spacing w:val="-1"/>
        </w:rPr>
        <w:t xml:space="preserve"> </w:t>
      </w:r>
      <w:r w:rsidRPr="00C46ED3">
        <w:rPr>
          <w:i/>
          <w:spacing w:val="-1"/>
        </w:rPr>
        <w:t>Natural</w:t>
      </w:r>
      <w:r w:rsidR="00E07EE7">
        <w:rPr>
          <w:i/>
          <w:spacing w:val="-1"/>
        </w:rPr>
        <w:t xml:space="preserve"> </w:t>
      </w:r>
      <w:r w:rsidRPr="00C46ED3">
        <w:rPr>
          <w:i/>
          <w:spacing w:val="-1"/>
        </w:rPr>
        <w:t>Persons</w:t>
      </w:r>
      <w:r w:rsidR="00E07EE7">
        <w:rPr>
          <w:i/>
          <w:spacing w:val="-1"/>
        </w:rPr>
        <w:t xml:space="preserve"> </w:t>
      </w:r>
      <w:r w:rsidRPr="00C46ED3">
        <w:rPr>
          <w:i/>
          <w:spacing w:val="-1"/>
        </w:rPr>
        <w:t>(Mode4),</w:t>
      </w:r>
      <w:r w:rsidR="00E07EE7">
        <w:rPr>
          <w:i/>
          <w:spacing w:val="-1"/>
        </w:rPr>
        <w:t xml:space="preserve"> </w:t>
      </w:r>
      <w:r w:rsidRPr="00C46ED3">
        <w:rPr>
          <w:i/>
          <w:spacing w:val="-1"/>
        </w:rPr>
        <w:t>Background</w:t>
      </w:r>
      <w:r w:rsidR="00E07EE7">
        <w:rPr>
          <w:i/>
          <w:spacing w:val="-1"/>
        </w:rPr>
        <w:t xml:space="preserve"> </w:t>
      </w:r>
      <w:r w:rsidRPr="00C46ED3">
        <w:rPr>
          <w:i/>
        </w:rPr>
        <w:t>Note</w:t>
      </w:r>
      <w:r w:rsidR="00E07EE7">
        <w:rPr>
          <w:i/>
        </w:rPr>
        <w:t xml:space="preserve"> </w:t>
      </w:r>
      <w:r w:rsidRPr="00C46ED3">
        <w:rPr>
          <w:i/>
          <w:spacing w:val="-1"/>
        </w:rPr>
        <w:t>by</w:t>
      </w:r>
      <w:r w:rsidR="00E07EE7">
        <w:rPr>
          <w:i/>
          <w:spacing w:val="-1"/>
        </w:rPr>
        <w:t xml:space="preserve"> </w:t>
      </w:r>
      <w:r w:rsidRPr="00C46ED3">
        <w:rPr>
          <w:i/>
          <w:spacing w:val="-1"/>
        </w:rPr>
        <w:t>the</w:t>
      </w:r>
      <w:r w:rsidR="00E07EE7">
        <w:rPr>
          <w:i/>
          <w:spacing w:val="-1"/>
        </w:rPr>
        <w:t xml:space="preserve"> </w:t>
      </w:r>
      <w:r w:rsidRPr="00C46ED3">
        <w:rPr>
          <w:i/>
          <w:spacing w:val="-1"/>
        </w:rPr>
        <w:t>Secretariat,</w:t>
      </w:r>
      <w:r w:rsidR="00E07EE7">
        <w:rPr>
          <w:i/>
          <w:spacing w:val="-1"/>
        </w:rPr>
        <w:t xml:space="preserve"> </w:t>
      </w:r>
      <w:r w:rsidRPr="00C46ED3">
        <w:rPr>
          <w:i/>
          <w:spacing w:val="-1"/>
        </w:rPr>
        <w:t>S/C/W/75of8.12.1998</w:t>
      </w:r>
    </w:p>
    <w:p w14:paraId="0FAB512E" w14:textId="77777777" w:rsidR="005F1585" w:rsidRDefault="005F1585" w:rsidP="00C46ED3">
      <w:pPr>
        <w:spacing w:after="0" w:line="480" w:lineRule="auto"/>
        <w:ind w:left="709" w:hanging="709"/>
        <w:jc w:val="both"/>
        <w:rPr>
          <w:rFonts w:eastAsia="Times New Roman" w:cs="Times New Roman"/>
        </w:rPr>
      </w:pPr>
    </w:p>
    <w:p w14:paraId="690E54EC" w14:textId="77777777" w:rsidR="00772829" w:rsidRDefault="00772829" w:rsidP="00C46ED3">
      <w:pPr>
        <w:spacing w:after="0" w:line="480" w:lineRule="auto"/>
        <w:ind w:left="709" w:hanging="709"/>
        <w:jc w:val="both"/>
        <w:rPr>
          <w:rFonts w:eastAsia="Times New Roman" w:cs="Times New Roman"/>
        </w:rPr>
      </w:pPr>
    </w:p>
    <w:p w14:paraId="65DCD7E5" w14:textId="77777777" w:rsidR="00772829" w:rsidRDefault="00772829" w:rsidP="00C46ED3">
      <w:pPr>
        <w:spacing w:after="0" w:line="480" w:lineRule="auto"/>
        <w:ind w:left="709" w:hanging="709"/>
        <w:jc w:val="both"/>
        <w:rPr>
          <w:rFonts w:eastAsia="Times New Roman" w:cs="Times New Roman"/>
        </w:rPr>
      </w:pPr>
    </w:p>
    <w:p w14:paraId="64535730" w14:textId="77777777" w:rsidR="00772829" w:rsidRDefault="00772829" w:rsidP="00C46ED3">
      <w:pPr>
        <w:spacing w:after="0" w:line="480" w:lineRule="auto"/>
        <w:ind w:left="709" w:hanging="709"/>
        <w:jc w:val="both"/>
        <w:rPr>
          <w:rFonts w:eastAsia="Times New Roman" w:cs="Times New Roman"/>
        </w:rPr>
      </w:pPr>
    </w:p>
    <w:p w14:paraId="6C44B4F6" w14:textId="77777777" w:rsidR="00772829" w:rsidRDefault="00772829" w:rsidP="00C46ED3">
      <w:pPr>
        <w:spacing w:after="0" w:line="480" w:lineRule="auto"/>
        <w:ind w:left="709" w:hanging="709"/>
        <w:jc w:val="both"/>
        <w:rPr>
          <w:rFonts w:eastAsia="Times New Roman" w:cs="Times New Roman"/>
        </w:rPr>
      </w:pPr>
    </w:p>
    <w:p w14:paraId="22DF2A1E" w14:textId="77777777" w:rsidR="00772829" w:rsidRDefault="00772829" w:rsidP="00C46ED3">
      <w:pPr>
        <w:spacing w:after="0" w:line="480" w:lineRule="auto"/>
        <w:ind w:left="709" w:hanging="709"/>
        <w:jc w:val="both"/>
        <w:rPr>
          <w:rFonts w:eastAsia="Times New Roman" w:cs="Times New Roman"/>
        </w:rPr>
      </w:pPr>
    </w:p>
    <w:p w14:paraId="665F9856" w14:textId="77777777" w:rsidR="00772829" w:rsidRDefault="00772829" w:rsidP="00C46ED3">
      <w:pPr>
        <w:spacing w:after="0" w:line="480" w:lineRule="auto"/>
        <w:ind w:left="709" w:hanging="709"/>
        <w:jc w:val="both"/>
        <w:rPr>
          <w:rFonts w:eastAsia="Times New Roman" w:cs="Times New Roman"/>
        </w:rPr>
      </w:pPr>
    </w:p>
    <w:p w14:paraId="45E8961C" w14:textId="77777777" w:rsidR="00CB4F5C" w:rsidRDefault="00CB4F5C" w:rsidP="00772829">
      <w:pPr>
        <w:spacing w:line="360" w:lineRule="auto"/>
        <w:jc w:val="both"/>
        <w:rPr>
          <w:rFonts w:eastAsia="Times New Roman" w:cs="Times New Roman"/>
        </w:rPr>
      </w:pPr>
    </w:p>
    <w:p w14:paraId="616113DA" w14:textId="77777777" w:rsidR="00772829" w:rsidRPr="00F53568" w:rsidRDefault="00772829" w:rsidP="00772829">
      <w:pPr>
        <w:spacing w:line="360" w:lineRule="auto"/>
        <w:jc w:val="both"/>
        <w:rPr>
          <w:rFonts w:cs="Times New Roman"/>
          <w:b/>
          <w:lang w:val="en-US"/>
        </w:rPr>
      </w:pPr>
      <w:r w:rsidRPr="00F53568">
        <w:rPr>
          <w:rFonts w:cs="Times New Roman"/>
          <w:b/>
          <w:lang w:val="en-US"/>
        </w:rPr>
        <w:t>Annex</w:t>
      </w:r>
    </w:p>
    <w:p w14:paraId="64437D91" w14:textId="77777777" w:rsidR="00772829" w:rsidRPr="00F53568" w:rsidRDefault="00772829" w:rsidP="00772829">
      <w:pPr>
        <w:spacing w:before="100" w:beforeAutospacing="1" w:line="360" w:lineRule="auto"/>
        <w:jc w:val="both"/>
        <w:rPr>
          <w:b/>
        </w:rPr>
      </w:pPr>
      <w:r>
        <w:rPr>
          <w:b/>
        </w:rPr>
        <w:t xml:space="preserve">List of </w:t>
      </w:r>
      <w:r w:rsidRPr="00F53568">
        <w:rPr>
          <w:b/>
        </w:rPr>
        <w:t>Interviews</w:t>
      </w:r>
    </w:p>
    <w:p w14:paraId="0C3508AF" w14:textId="30D5CF5A" w:rsidR="00772829" w:rsidRPr="00F53568" w:rsidRDefault="00772829" w:rsidP="00772829">
      <w:pPr>
        <w:snapToGrid w:val="0"/>
        <w:spacing w:after="120" w:line="360" w:lineRule="auto"/>
        <w:jc w:val="both"/>
      </w:pPr>
      <w:r w:rsidRPr="00F53568">
        <w:t xml:space="preserve">Interview 1: </w:t>
      </w:r>
      <w:r w:rsidR="00B066D3">
        <w:t xml:space="preserve">Permanent Mission of </w:t>
      </w:r>
      <w:r w:rsidR="00B066D3" w:rsidRPr="00F53568">
        <w:t>Indian to the WTO, Geneva</w:t>
      </w:r>
      <w:r w:rsidR="00B066D3">
        <w:t xml:space="preserve">, </w:t>
      </w:r>
      <w:r w:rsidR="00B066D3" w:rsidRPr="00F53568">
        <w:t>February 2013</w:t>
      </w:r>
      <w:r w:rsidRPr="00F53568">
        <w:t xml:space="preserve">. </w:t>
      </w:r>
    </w:p>
    <w:p w14:paraId="699ACF5A" w14:textId="071D8E8E" w:rsidR="00772829" w:rsidRPr="00F53568" w:rsidRDefault="00772829" w:rsidP="00772829">
      <w:pPr>
        <w:snapToGrid w:val="0"/>
        <w:spacing w:after="120" w:line="360" w:lineRule="auto"/>
        <w:jc w:val="both"/>
      </w:pPr>
      <w:r w:rsidRPr="00F53568">
        <w:t xml:space="preserve">Interview 2: </w:t>
      </w:r>
      <w:r w:rsidR="00B066D3">
        <w:t>Permanent Mission of Mexico</w:t>
      </w:r>
      <w:r w:rsidR="00B066D3" w:rsidRPr="00F53568">
        <w:t xml:space="preserve"> to the WTO, Geneva</w:t>
      </w:r>
      <w:r w:rsidR="00B066D3">
        <w:t>, February 2013</w:t>
      </w:r>
      <w:r w:rsidRPr="00F53568">
        <w:t xml:space="preserve">. </w:t>
      </w:r>
    </w:p>
    <w:p w14:paraId="47D8B26D" w14:textId="2CFF1336" w:rsidR="00E649EC" w:rsidRDefault="00772829" w:rsidP="00772829">
      <w:pPr>
        <w:snapToGrid w:val="0"/>
        <w:spacing w:after="120" w:line="360" w:lineRule="auto"/>
        <w:jc w:val="both"/>
      </w:pPr>
      <w:r w:rsidRPr="00F53568">
        <w:t xml:space="preserve">Interview 3: </w:t>
      </w:r>
      <w:r w:rsidR="00E649EC" w:rsidRPr="002D360D">
        <w:t>Federation of Indian Chambers of Commerce and Industry</w:t>
      </w:r>
      <w:r w:rsidR="00E649EC">
        <w:t xml:space="preserve"> (FICCI), </w:t>
      </w:r>
      <w:r w:rsidR="00E649EC" w:rsidRPr="00955BE4">
        <w:t>New Delhi</w:t>
      </w:r>
      <w:r w:rsidR="00E649EC">
        <w:t>, India, January 2014</w:t>
      </w:r>
      <w:r w:rsidR="00102F20">
        <w:t>.</w:t>
      </w:r>
    </w:p>
    <w:p w14:paraId="087BFD65" w14:textId="3670DEAF" w:rsidR="00772829" w:rsidRPr="00F53568" w:rsidRDefault="00772829" w:rsidP="00772829">
      <w:pPr>
        <w:snapToGrid w:val="0"/>
        <w:spacing w:after="120" w:line="360" w:lineRule="auto"/>
        <w:jc w:val="both"/>
      </w:pPr>
      <w:r w:rsidRPr="00F53568">
        <w:t xml:space="preserve">Interview 4: </w:t>
      </w:r>
      <w:r w:rsidR="00E649EC" w:rsidRPr="002D360D">
        <w:t>Federation of Indian Chambers of Commerce and Industry</w:t>
      </w:r>
      <w:r w:rsidR="00E649EC">
        <w:t xml:space="preserve"> (FICCI), Secretariat, </w:t>
      </w:r>
      <w:r w:rsidR="00E649EC" w:rsidRPr="00955BE4">
        <w:t>New Delhi</w:t>
      </w:r>
      <w:r w:rsidR="00E649EC">
        <w:t>, India, January 2014</w:t>
      </w:r>
      <w:r w:rsidRPr="00F53568">
        <w:t>.</w:t>
      </w:r>
    </w:p>
    <w:p w14:paraId="17B4BD86" w14:textId="4AA25DE1" w:rsidR="00772829" w:rsidRPr="00F53568" w:rsidRDefault="00772829" w:rsidP="00772829">
      <w:pPr>
        <w:snapToGrid w:val="0"/>
        <w:spacing w:after="120" w:line="360" w:lineRule="auto"/>
        <w:jc w:val="both"/>
      </w:pPr>
      <w:r w:rsidRPr="00F53568">
        <w:t xml:space="preserve">Interview 5: </w:t>
      </w:r>
      <w:r w:rsidR="00102F20">
        <w:t xml:space="preserve">Ministry of Commerce and Industry, Department of Commerce, </w:t>
      </w:r>
      <w:r w:rsidR="00102F20" w:rsidRPr="00955BE4">
        <w:t>New Delhi</w:t>
      </w:r>
      <w:r w:rsidR="00102F20">
        <w:t>, India, January 2014.</w:t>
      </w:r>
    </w:p>
    <w:p w14:paraId="0BD76924" w14:textId="57B639A6" w:rsidR="00772829" w:rsidRPr="00F53568" w:rsidRDefault="00772829" w:rsidP="00772829">
      <w:pPr>
        <w:snapToGrid w:val="0"/>
        <w:spacing w:after="120" w:line="360" w:lineRule="auto"/>
        <w:jc w:val="both"/>
      </w:pPr>
      <w:r w:rsidRPr="00F53568">
        <w:t xml:space="preserve">Interview 6: </w:t>
      </w:r>
      <w:r w:rsidR="00263ED3" w:rsidRPr="00924997">
        <w:t>Indian Institute of Management</w:t>
      </w:r>
      <w:r w:rsidR="00263ED3">
        <w:t>,</w:t>
      </w:r>
      <w:r w:rsidR="00263ED3" w:rsidRPr="00924997">
        <w:t xml:space="preserve"> Bangalore</w:t>
      </w:r>
      <w:r w:rsidR="00263ED3">
        <w:t>, February 2014.</w:t>
      </w:r>
    </w:p>
    <w:p w14:paraId="61E94B0A" w14:textId="3FADD17A" w:rsidR="00772829" w:rsidRPr="00F53568" w:rsidRDefault="00772829" w:rsidP="00772829">
      <w:pPr>
        <w:snapToGrid w:val="0"/>
        <w:spacing w:after="120" w:line="360" w:lineRule="auto"/>
        <w:jc w:val="both"/>
      </w:pPr>
      <w:r w:rsidRPr="00F53568">
        <w:t xml:space="preserve">Interview 7: </w:t>
      </w:r>
      <w:r w:rsidR="00574C80">
        <w:t>EU Commission, DG Home</w:t>
      </w:r>
      <w:r w:rsidR="00CE43AE">
        <w:t xml:space="preserve"> Affairs</w:t>
      </w:r>
      <w:r w:rsidR="00574C80">
        <w:t xml:space="preserve">, </w:t>
      </w:r>
      <w:r w:rsidR="00CE43AE">
        <w:t>Brussels</w:t>
      </w:r>
      <w:r w:rsidR="00574C80">
        <w:t>, September 2013.</w:t>
      </w:r>
    </w:p>
    <w:p w14:paraId="4DF0AAFB" w14:textId="05FF86DC" w:rsidR="00772829" w:rsidRPr="00F53568" w:rsidRDefault="00772829" w:rsidP="00772829">
      <w:pPr>
        <w:snapToGrid w:val="0"/>
        <w:spacing w:after="120" w:line="360" w:lineRule="auto"/>
        <w:jc w:val="both"/>
      </w:pPr>
      <w:r w:rsidRPr="00F53568">
        <w:t xml:space="preserve">Interview 8: </w:t>
      </w:r>
      <w:r w:rsidR="004F5AC7">
        <w:t>EU Commission, DG Trade, Services Division, Brussels, September 2013.</w:t>
      </w:r>
    </w:p>
    <w:p w14:paraId="2D84C3DF" w14:textId="76A0BEC0" w:rsidR="00772829" w:rsidRPr="00F53568" w:rsidRDefault="00772829" w:rsidP="00772829">
      <w:pPr>
        <w:snapToGrid w:val="0"/>
        <w:spacing w:after="120" w:line="360" w:lineRule="auto"/>
        <w:jc w:val="both"/>
        <w:rPr>
          <w:lang w:val="en-US"/>
        </w:rPr>
      </w:pPr>
      <w:r w:rsidRPr="00F53568">
        <w:t xml:space="preserve">Interview </w:t>
      </w:r>
      <w:r w:rsidR="00A72EA0">
        <w:t>9</w:t>
      </w:r>
      <w:r w:rsidRPr="00F53568">
        <w:t xml:space="preserve">: </w:t>
      </w:r>
      <w:r w:rsidR="009078FD" w:rsidRPr="00F53568">
        <w:t>European Commission, DG Trade, Directorate B</w:t>
      </w:r>
      <w:r w:rsidR="009078FD" w:rsidRPr="00F53568">
        <w:rPr>
          <w:b/>
        </w:rPr>
        <w:t xml:space="preserve"> </w:t>
      </w:r>
      <w:r w:rsidR="009078FD" w:rsidRPr="009078FD">
        <w:rPr>
          <w:b/>
        </w:rPr>
        <w:t>“</w:t>
      </w:r>
      <w:r w:rsidR="009078FD" w:rsidRPr="009078FD">
        <w:rPr>
          <w:rStyle w:val="Fett"/>
          <w:b w:val="0"/>
          <w:lang w:val="en"/>
        </w:rPr>
        <w:t xml:space="preserve">Services and Investment, Intellectual Property and Public Procurement”, </w:t>
      </w:r>
      <w:r w:rsidR="00212CED">
        <w:rPr>
          <w:rStyle w:val="Fett"/>
          <w:b w:val="0"/>
          <w:lang w:val="en"/>
        </w:rPr>
        <w:t xml:space="preserve">Februrary </w:t>
      </w:r>
      <w:r w:rsidR="009078FD" w:rsidRPr="009078FD">
        <w:rPr>
          <w:rStyle w:val="Fett"/>
          <w:b w:val="0"/>
          <w:lang w:val="en"/>
        </w:rPr>
        <w:t>2013.</w:t>
      </w:r>
    </w:p>
    <w:p w14:paraId="045C435F" w14:textId="3B0C4FF2" w:rsidR="00732280" w:rsidRDefault="00772829" w:rsidP="00772829">
      <w:pPr>
        <w:snapToGrid w:val="0"/>
        <w:spacing w:after="120" w:line="360" w:lineRule="auto"/>
        <w:jc w:val="both"/>
      </w:pPr>
      <w:r w:rsidRPr="00F53568">
        <w:t>Interview 1</w:t>
      </w:r>
      <w:r w:rsidR="00A72EA0">
        <w:t>0</w:t>
      </w:r>
      <w:r w:rsidRPr="00F53568">
        <w:t xml:space="preserve">: </w:t>
      </w:r>
      <w:r w:rsidR="00732280">
        <w:rPr>
          <w:rFonts w:ascii="Times New Roman" w:hAnsi="Times New Roman" w:cs="Times New Roman"/>
          <w:sz w:val="24"/>
          <w:szCs w:val="24"/>
          <w:lang w:val="en-US"/>
        </w:rPr>
        <w:t>National Academy of Architects</w:t>
      </w:r>
      <w:r w:rsidR="00C42DCB">
        <w:t xml:space="preserve"> Mexico, NAFTA,</w:t>
      </w:r>
      <w:r w:rsidR="00732280">
        <w:t xml:space="preserve"> Mexico City, April 2014.</w:t>
      </w:r>
    </w:p>
    <w:p w14:paraId="23EF19AC" w14:textId="29637843" w:rsidR="00732280" w:rsidRPr="00F53568" w:rsidRDefault="00772829" w:rsidP="00772829">
      <w:pPr>
        <w:snapToGrid w:val="0"/>
        <w:spacing w:after="120" w:line="360" w:lineRule="auto"/>
        <w:jc w:val="both"/>
      </w:pPr>
      <w:r w:rsidRPr="00F53568">
        <w:t>Interview 1</w:t>
      </w:r>
      <w:r w:rsidR="00A72EA0">
        <w:t>1</w:t>
      </w:r>
      <w:r w:rsidRPr="00F53568">
        <w:t xml:space="preserve">: </w:t>
      </w:r>
      <w:r w:rsidR="00732280">
        <w:t>Ministry of Trade Indonesia, Services division, Jakarta, June 2014.</w:t>
      </w:r>
    </w:p>
    <w:p w14:paraId="21664426" w14:textId="4D24B6F2" w:rsidR="004B2BEE" w:rsidRDefault="00772829" w:rsidP="00772829">
      <w:pPr>
        <w:snapToGrid w:val="0"/>
        <w:spacing w:after="120" w:line="360" w:lineRule="auto"/>
        <w:jc w:val="both"/>
        <w:rPr>
          <w:rFonts w:ascii="Times New Roman" w:hAnsi="Times New Roman" w:cs="Times New Roman"/>
          <w:sz w:val="24"/>
          <w:szCs w:val="24"/>
          <w:lang w:val="en-US"/>
        </w:rPr>
      </w:pPr>
      <w:r w:rsidRPr="00F53568">
        <w:t>Interview 1</w:t>
      </w:r>
      <w:r w:rsidR="00A72EA0">
        <w:t>2</w:t>
      </w:r>
      <w:r w:rsidRPr="00F53568">
        <w:t xml:space="preserve">: </w:t>
      </w:r>
      <w:r w:rsidR="004B2BEE">
        <w:rPr>
          <w:rFonts w:ascii="Times New Roman" w:hAnsi="Times New Roman" w:cs="Times New Roman"/>
          <w:sz w:val="24"/>
          <w:szCs w:val="24"/>
          <w:lang w:val="en-US"/>
        </w:rPr>
        <w:t>Ministry of Manpower and Transmigration Indonesia, Jakarta, June 2014.</w:t>
      </w:r>
    </w:p>
    <w:p w14:paraId="43960D61" w14:textId="3CE4C842" w:rsidR="00CB53E9" w:rsidRDefault="00772829" w:rsidP="00772829">
      <w:pPr>
        <w:snapToGrid w:val="0"/>
        <w:spacing w:after="120" w:line="360" w:lineRule="auto"/>
        <w:jc w:val="both"/>
        <w:rPr>
          <w:rFonts w:ascii="Times New Roman" w:hAnsi="Times New Roman" w:cs="Times New Roman"/>
          <w:sz w:val="24"/>
          <w:szCs w:val="24"/>
          <w:lang w:val="en-US"/>
        </w:rPr>
      </w:pPr>
      <w:r w:rsidRPr="00F53568">
        <w:t>Interview 1</w:t>
      </w:r>
      <w:r w:rsidR="00A72EA0">
        <w:t>3</w:t>
      </w:r>
      <w:r w:rsidRPr="00F53568">
        <w:t xml:space="preserve">: </w:t>
      </w:r>
      <w:r w:rsidR="00CB53E9">
        <w:rPr>
          <w:rFonts w:ascii="Times New Roman" w:hAnsi="Times New Roman" w:cs="Times New Roman"/>
          <w:sz w:val="24"/>
          <w:szCs w:val="24"/>
          <w:lang w:val="en-US"/>
        </w:rPr>
        <w:t xml:space="preserve">ASEAN Secretariat, </w:t>
      </w:r>
      <w:r w:rsidR="00CB53E9" w:rsidRPr="00B65631">
        <w:rPr>
          <w:rFonts w:ascii="Times New Roman" w:hAnsi="Times New Roman" w:cs="Times New Roman"/>
          <w:sz w:val="24"/>
          <w:szCs w:val="24"/>
          <w:lang w:val="en-US"/>
        </w:rPr>
        <w:t>ASEAN-Australia Development Cooperation Program Phase II</w:t>
      </w:r>
      <w:r w:rsidR="00CB53E9">
        <w:rPr>
          <w:rFonts w:ascii="Times New Roman" w:hAnsi="Times New Roman" w:cs="Times New Roman"/>
          <w:sz w:val="24"/>
          <w:szCs w:val="24"/>
          <w:lang w:val="en-US"/>
        </w:rPr>
        <w:t>, Jakarta, Indonesia, June 2014.</w:t>
      </w:r>
    </w:p>
    <w:p w14:paraId="0759DE58" w14:textId="43162577" w:rsidR="00772829" w:rsidRPr="00F53568" w:rsidRDefault="00772829" w:rsidP="00772829">
      <w:pPr>
        <w:snapToGrid w:val="0"/>
        <w:spacing w:after="120" w:line="360" w:lineRule="auto"/>
        <w:jc w:val="both"/>
      </w:pPr>
      <w:r w:rsidRPr="00F53568">
        <w:t>Interview 1</w:t>
      </w:r>
      <w:r w:rsidR="00A72EA0">
        <w:t>4</w:t>
      </w:r>
      <w:r w:rsidRPr="00F53568">
        <w:t xml:space="preserve">: </w:t>
      </w:r>
      <w:r w:rsidR="0037398A">
        <w:rPr>
          <w:rFonts w:ascii="Times New Roman" w:hAnsi="Times New Roman" w:cs="Times New Roman"/>
          <w:sz w:val="24"/>
          <w:szCs w:val="24"/>
          <w:lang w:val="en-US"/>
        </w:rPr>
        <w:t xml:space="preserve">ASEAN Secretariat, AEC Department, Jakarta, </w:t>
      </w:r>
      <w:r w:rsidR="00216133">
        <w:rPr>
          <w:rFonts w:ascii="Times New Roman" w:hAnsi="Times New Roman" w:cs="Times New Roman"/>
          <w:sz w:val="24"/>
          <w:szCs w:val="24"/>
          <w:lang w:val="en-US"/>
        </w:rPr>
        <w:t xml:space="preserve">June </w:t>
      </w:r>
      <w:r w:rsidR="0037398A">
        <w:rPr>
          <w:rFonts w:ascii="Times New Roman" w:hAnsi="Times New Roman" w:cs="Times New Roman"/>
          <w:sz w:val="24"/>
          <w:szCs w:val="24"/>
          <w:lang w:val="en-US"/>
        </w:rPr>
        <w:t>2014.</w:t>
      </w:r>
    </w:p>
    <w:p w14:paraId="1DB37897" w14:textId="264D2868" w:rsidR="00772829" w:rsidRPr="00F53568" w:rsidRDefault="00772829" w:rsidP="00772829">
      <w:pPr>
        <w:snapToGrid w:val="0"/>
        <w:spacing w:after="120" w:line="360" w:lineRule="auto"/>
        <w:jc w:val="both"/>
      </w:pPr>
      <w:r w:rsidRPr="00F53568">
        <w:t>Interview 1</w:t>
      </w:r>
      <w:r w:rsidR="00A72EA0">
        <w:t>5</w:t>
      </w:r>
      <w:r w:rsidRPr="00F53568">
        <w:t xml:space="preserve">: </w:t>
      </w:r>
      <w:r w:rsidR="00216133">
        <w:rPr>
          <w:rFonts w:ascii="Times New Roman" w:hAnsi="Times New Roman" w:cs="Times New Roman"/>
          <w:sz w:val="24"/>
          <w:szCs w:val="24"/>
          <w:lang w:val="en-US"/>
        </w:rPr>
        <w:t>University of Indonesia, Jakarta, June 2014.</w:t>
      </w:r>
    </w:p>
    <w:p w14:paraId="4116E78D" w14:textId="77777777" w:rsidR="00A72EA0" w:rsidRDefault="00772829" w:rsidP="00A72EA0">
      <w:pPr>
        <w:snapToGrid w:val="0"/>
        <w:spacing w:after="120" w:line="360" w:lineRule="auto"/>
        <w:jc w:val="both"/>
      </w:pPr>
      <w:r w:rsidRPr="00F53568">
        <w:t>Interview 1</w:t>
      </w:r>
      <w:r w:rsidR="00A72EA0">
        <w:t>6</w:t>
      </w:r>
      <w:r w:rsidRPr="00F53568">
        <w:t xml:space="preserve">: </w:t>
      </w:r>
      <w:r w:rsidR="008664C7">
        <w:rPr>
          <w:rFonts w:ascii="Times New Roman" w:hAnsi="Times New Roman" w:cs="Times New Roman"/>
          <w:sz w:val="24"/>
          <w:szCs w:val="24"/>
          <w:lang w:val="en-US"/>
        </w:rPr>
        <w:t>Center for Strategic and International Studies, Jakarta, June 2014.</w:t>
      </w:r>
    </w:p>
    <w:p w14:paraId="178FF36D" w14:textId="26BDF5A6" w:rsidR="00F75B06" w:rsidRPr="00A72EA0" w:rsidRDefault="00772829" w:rsidP="00A72EA0">
      <w:pPr>
        <w:snapToGrid w:val="0"/>
        <w:spacing w:after="120" w:line="360" w:lineRule="auto"/>
        <w:jc w:val="both"/>
      </w:pPr>
      <w:r w:rsidRPr="00F53568">
        <w:t>Interview 1</w:t>
      </w:r>
      <w:r w:rsidR="00A72EA0">
        <w:t>7</w:t>
      </w:r>
      <w:r w:rsidRPr="00F53568">
        <w:t xml:space="preserve">: </w:t>
      </w:r>
      <w:r w:rsidR="00F75B06">
        <w:rPr>
          <w:rFonts w:ascii="Times New Roman" w:hAnsi="Times New Roman" w:cs="Times New Roman"/>
          <w:sz w:val="24"/>
          <w:szCs w:val="24"/>
          <w:lang w:val="en-US"/>
        </w:rPr>
        <w:t>Delegation of the European Union to Indonesia, Jakarta, June 2014.</w:t>
      </w:r>
    </w:p>
    <w:p w14:paraId="64305D84" w14:textId="77777777" w:rsidR="00D96FF7" w:rsidRPr="001215B9" w:rsidRDefault="00D96FF7" w:rsidP="001215B9">
      <w:pPr>
        <w:spacing w:after="120" w:line="360" w:lineRule="auto"/>
        <w:jc w:val="both"/>
        <w:rPr>
          <w:rFonts w:ascii="Calibri" w:hAnsi="Calibri"/>
          <w:lang w:val="en-US"/>
        </w:rPr>
      </w:pPr>
    </w:p>
    <w:sectPr w:rsidR="00D96FF7" w:rsidRPr="001215B9" w:rsidSect="0032445B">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AB3C" w14:textId="77777777" w:rsidR="00903945" w:rsidRDefault="00903945" w:rsidP="00662AC2">
      <w:pPr>
        <w:spacing w:after="0" w:line="240" w:lineRule="auto"/>
      </w:pPr>
      <w:r>
        <w:separator/>
      </w:r>
    </w:p>
  </w:endnote>
  <w:endnote w:type="continuationSeparator" w:id="0">
    <w:p w14:paraId="1BEB6E46" w14:textId="77777777" w:rsidR="00903945" w:rsidRDefault="00903945" w:rsidP="0066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C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39EE" w14:textId="77777777" w:rsidR="00891FDB" w:rsidRDefault="00891FDB" w:rsidP="00E506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093F26" w14:textId="77777777" w:rsidR="00891FDB" w:rsidRDefault="00891FDB" w:rsidP="00620B9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A6CD" w14:textId="77777777" w:rsidR="00891FDB" w:rsidRDefault="00891FDB" w:rsidP="00E506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52AE">
      <w:rPr>
        <w:rStyle w:val="Seitenzahl"/>
        <w:noProof/>
      </w:rPr>
      <w:t>1</w:t>
    </w:r>
    <w:r>
      <w:rPr>
        <w:rStyle w:val="Seitenzahl"/>
      </w:rPr>
      <w:fldChar w:fldCharType="end"/>
    </w:r>
  </w:p>
  <w:p w14:paraId="50D6F1FE" w14:textId="77777777" w:rsidR="00891FDB" w:rsidRDefault="00891FDB" w:rsidP="00620B95">
    <w:pPr>
      <w:pStyle w:val="Fuzeile"/>
      <w:ind w:right="360"/>
      <w:jc w:val="right"/>
    </w:pPr>
  </w:p>
  <w:p w14:paraId="610E9036" w14:textId="77777777" w:rsidR="00891FDB" w:rsidRDefault="00891F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1FD7A" w14:textId="77777777" w:rsidR="00903945" w:rsidRDefault="00903945" w:rsidP="00662AC2">
      <w:pPr>
        <w:spacing w:after="0" w:line="240" w:lineRule="auto"/>
      </w:pPr>
      <w:r>
        <w:separator/>
      </w:r>
    </w:p>
  </w:footnote>
  <w:footnote w:type="continuationSeparator" w:id="0">
    <w:p w14:paraId="30DA4143" w14:textId="77777777" w:rsidR="00903945" w:rsidRDefault="00903945" w:rsidP="00662AC2">
      <w:pPr>
        <w:spacing w:after="0" w:line="240" w:lineRule="auto"/>
      </w:pPr>
      <w:r>
        <w:continuationSeparator/>
      </w:r>
    </w:p>
  </w:footnote>
  <w:footnote w:id="1">
    <w:p w14:paraId="62482B17" w14:textId="51489F39" w:rsidR="00891FDB" w:rsidRPr="007759D9" w:rsidRDefault="00891FDB">
      <w:pPr>
        <w:pStyle w:val="Funotentext"/>
        <w:rPr>
          <w:lang w:val="en-US"/>
        </w:rPr>
      </w:pPr>
      <w:r w:rsidRPr="00E405BD">
        <w:rPr>
          <w:rStyle w:val="Funotenzeichen"/>
          <w:sz w:val="18"/>
          <w:szCs w:val="18"/>
        </w:rPr>
        <w:footnoteRef/>
      </w:r>
      <w:r>
        <w:rPr>
          <w:sz w:val="18"/>
          <w:szCs w:val="18"/>
          <w:lang w:val="en-US"/>
        </w:rPr>
        <w:t>Data available on NASSCOM’s Resource Center website:</w:t>
      </w:r>
      <w:r w:rsidRPr="00E405BD">
        <w:rPr>
          <w:sz w:val="18"/>
          <w:szCs w:val="18"/>
          <w:lang w:val="en-US"/>
        </w:rPr>
        <w:t xml:space="preserve"> </w:t>
      </w:r>
      <w:hyperlink r:id="rId1" w:history="1">
        <w:r w:rsidRPr="005C4948">
          <w:rPr>
            <w:rStyle w:val="Hyperlink"/>
            <w:sz w:val="18"/>
            <w:szCs w:val="18"/>
            <w:lang w:val="en-US"/>
          </w:rPr>
          <w:t>http://www.nasscom.in/indian-itbpo-industry</w:t>
        </w:r>
      </w:hyperlink>
      <w:r>
        <w:rPr>
          <w:sz w:val="18"/>
          <w:szCs w:val="18"/>
          <w:lang w:val="en-US"/>
        </w:rPr>
        <w:t xml:space="preserve"> (last accessed on 22 October 2014). </w:t>
      </w:r>
    </w:p>
  </w:footnote>
  <w:footnote w:id="2">
    <w:p w14:paraId="05AA0D11" w14:textId="77777777" w:rsidR="00891FDB" w:rsidRPr="0055334D" w:rsidRDefault="00891FDB">
      <w:pPr>
        <w:pStyle w:val="Funotentext"/>
        <w:rPr>
          <w:sz w:val="18"/>
          <w:szCs w:val="18"/>
          <w:lang w:val="en-US"/>
        </w:rPr>
      </w:pPr>
      <w:r w:rsidRPr="0055334D">
        <w:rPr>
          <w:rStyle w:val="Funotenzeichen"/>
          <w:sz w:val="18"/>
          <w:szCs w:val="18"/>
        </w:rPr>
        <w:footnoteRef/>
      </w:r>
      <w:r w:rsidRPr="0055334D">
        <w:rPr>
          <w:sz w:val="18"/>
          <w:szCs w:val="18"/>
          <w:lang w:val="en-US"/>
        </w:rPr>
        <w:t>Communication from Argentina, Columbia, Cuba, Egypt, India, Mexico, Pakistan, and Peru: Annex on Temporary Movement of Services Personnel, GATT Document MTN.GNS/W/106 of 18.6.1990.</w:t>
      </w:r>
    </w:p>
  </w:footnote>
  <w:footnote w:id="3">
    <w:p w14:paraId="67C3F461" w14:textId="77777777" w:rsidR="00891FDB" w:rsidRPr="00DC275C" w:rsidRDefault="00891FDB">
      <w:pPr>
        <w:pStyle w:val="Funotentext"/>
        <w:rPr>
          <w:lang w:val="en-US"/>
        </w:rPr>
      </w:pPr>
      <w:r w:rsidRPr="0055334D">
        <w:rPr>
          <w:rStyle w:val="Funotenzeichen"/>
          <w:sz w:val="18"/>
          <w:szCs w:val="18"/>
        </w:rPr>
        <w:footnoteRef/>
      </w:r>
      <w:r w:rsidRPr="0055334D">
        <w:rPr>
          <w:sz w:val="18"/>
          <w:szCs w:val="18"/>
          <w:lang w:val="en-US"/>
        </w:rPr>
        <w:t>Para.3 Annex on Movement of Natural Persons Supplying Services under the GATS.</w:t>
      </w:r>
    </w:p>
  </w:footnote>
  <w:footnote w:id="4">
    <w:p w14:paraId="779ADAD1" w14:textId="51E752CE" w:rsidR="00CB4F5C" w:rsidRPr="00CB4F5C" w:rsidRDefault="00CB4F5C">
      <w:pPr>
        <w:pStyle w:val="Funotentext"/>
        <w:rPr>
          <w:lang w:val="en-US"/>
        </w:rPr>
      </w:pPr>
      <w:r>
        <w:rPr>
          <w:rStyle w:val="Funotenzeichen"/>
        </w:rPr>
        <w:footnoteRef/>
      </w:r>
      <w:r w:rsidRPr="00CA3874">
        <w:rPr>
          <w:lang w:val="en-GB"/>
        </w:rPr>
        <w:t xml:space="preserve"> </w:t>
      </w:r>
      <w:r>
        <w:rPr>
          <w:lang w:val="en-US"/>
        </w:rPr>
        <w:t>For the complete list of interviews, please refer to the Annex-List of Interviews.</w:t>
      </w:r>
    </w:p>
  </w:footnote>
  <w:footnote w:id="5">
    <w:p w14:paraId="638317B6" w14:textId="77777777" w:rsidR="00891FDB" w:rsidRPr="006D28E2" w:rsidRDefault="00891FDB" w:rsidP="006F1275">
      <w:pPr>
        <w:pStyle w:val="Funotentext"/>
        <w:jc w:val="both"/>
        <w:rPr>
          <w:sz w:val="18"/>
          <w:szCs w:val="18"/>
          <w:lang w:val="en-US"/>
        </w:rPr>
      </w:pPr>
      <w:r w:rsidRPr="006D28E2">
        <w:rPr>
          <w:rStyle w:val="Funotenzeichen"/>
          <w:rFonts w:cs="Times New Roman"/>
          <w:sz w:val="18"/>
          <w:szCs w:val="18"/>
          <w:lang w:val="en-GB"/>
        </w:rPr>
        <w:footnoteRef/>
      </w:r>
      <w:r>
        <w:rPr>
          <w:rFonts w:cs="Times New Roman"/>
          <w:sz w:val="18"/>
          <w:szCs w:val="18"/>
          <w:lang w:val="en-GB"/>
        </w:rPr>
        <w:t xml:space="preserve"> R</w:t>
      </w:r>
      <w:r w:rsidRPr="006D28E2">
        <w:rPr>
          <w:rFonts w:cs="Times New Roman"/>
          <w:sz w:val="18"/>
          <w:szCs w:val="18"/>
          <w:lang w:val="en-GB"/>
        </w:rPr>
        <w:t>equesting Member</w:t>
      </w:r>
      <w:r>
        <w:rPr>
          <w:rFonts w:cs="Times New Roman"/>
          <w:sz w:val="18"/>
          <w:szCs w:val="18"/>
          <w:lang w:val="en-GB"/>
        </w:rPr>
        <w:t>s were</w:t>
      </w:r>
      <w:r w:rsidRPr="006D28E2">
        <w:rPr>
          <w:rFonts w:cs="Times New Roman"/>
          <w:sz w:val="18"/>
          <w:szCs w:val="18"/>
          <w:lang w:val="en-GB"/>
        </w:rPr>
        <w:t xml:space="preserve"> Argentina, Brazil, Chile, China, Colombia, Dominican Republic, Egypt, Guatemala, India, </w:t>
      </w:r>
      <w:r w:rsidRPr="006D28E2">
        <w:rPr>
          <w:sz w:val="18"/>
          <w:szCs w:val="18"/>
          <w:lang w:val="en-US"/>
        </w:rPr>
        <w:t>Mexico, Morocco, Pakistan, Peru, Thailand and Uruguay</w:t>
      </w:r>
      <w:r>
        <w:rPr>
          <w:sz w:val="18"/>
          <w:szCs w:val="18"/>
          <w:lang w:val="en-US"/>
        </w:rPr>
        <w:t>, target Members were</w:t>
      </w:r>
      <w:r w:rsidRPr="006D28E2">
        <w:rPr>
          <w:sz w:val="18"/>
          <w:szCs w:val="18"/>
          <w:lang w:val="en-US"/>
        </w:rPr>
        <w:t xml:space="preserve"> Australia, Canada, EC, Iceland, Japan, New Zealand, Norway, Switzerland and United States. </w:t>
      </w:r>
    </w:p>
  </w:footnote>
  <w:footnote w:id="6">
    <w:p w14:paraId="37317F3A" w14:textId="77777777" w:rsidR="00891FDB" w:rsidRPr="00F573BC" w:rsidRDefault="00891FDB" w:rsidP="003E4A22">
      <w:pPr>
        <w:pStyle w:val="Funotentext"/>
        <w:rPr>
          <w:lang w:val="en-US"/>
        </w:rPr>
      </w:pPr>
      <w:r>
        <w:rPr>
          <w:rStyle w:val="Funotenzeichen"/>
        </w:rPr>
        <w:footnoteRef/>
      </w:r>
      <w:r w:rsidRPr="00B657AC">
        <w:rPr>
          <w:sz w:val="18"/>
          <w:szCs w:val="18"/>
          <w:lang w:val="en-US"/>
        </w:rPr>
        <w:t xml:space="preserve">Economic needs test mean that those entering the </w:t>
      </w:r>
      <w:r>
        <w:rPr>
          <w:sz w:val="18"/>
          <w:szCs w:val="18"/>
          <w:lang w:val="en-US"/>
        </w:rPr>
        <w:t>country</w:t>
      </w:r>
      <w:r w:rsidRPr="00B657AC">
        <w:rPr>
          <w:sz w:val="18"/>
          <w:szCs w:val="18"/>
          <w:lang w:val="en-US"/>
        </w:rPr>
        <w:t xml:space="preserve"> must provide evidence that there is ‘economic need’ for their service</w:t>
      </w:r>
      <w:r>
        <w:rPr>
          <w:sz w:val="18"/>
          <w:szCs w:val="18"/>
          <w:lang w:val="en-US"/>
        </w:rPr>
        <w:t>,</w:t>
      </w:r>
      <w:r w:rsidRPr="00B657AC">
        <w:rPr>
          <w:sz w:val="18"/>
          <w:szCs w:val="18"/>
          <w:lang w:val="en-US"/>
        </w:rPr>
        <w:t xml:space="preserve"> which is not being met from domestic suppliers.</w:t>
      </w:r>
    </w:p>
  </w:footnote>
  <w:footnote w:id="7">
    <w:p w14:paraId="00EAB34F" w14:textId="77777777" w:rsidR="00891FDB" w:rsidRPr="00F573BC" w:rsidRDefault="00891FDB">
      <w:pPr>
        <w:pStyle w:val="Funotentext"/>
        <w:rPr>
          <w:lang w:val="en-US"/>
        </w:rPr>
      </w:pPr>
      <w:r>
        <w:rPr>
          <w:rStyle w:val="Funotenzeichen"/>
        </w:rPr>
        <w:footnoteRef/>
      </w:r>
      <w:r>
        <w:rPr>
          <w:lang w:val="en-US"/>
        </w:rPr>
        <w:t>Meaning</w:t>
      </w:r>
      <w:r w:rsidRPr="00096F81">
        <w:rPr>
          <w:lang w:val="en-US"/>
        </w:rPr>
        <w:t xml:space="preserve"> that only those sectors and categories of service providers are actually committed for whom the countries have </w:t>
      </w:r>
      <w:r>
        <w:rPr>
          <w:lang w:val="en-US"/>
        </w:rPr>
        <w:t>made</w:t>
      </w:r>
      <w:r w:rsidRPr="00096F81">
        <w:rPr>
          <w:lang w:val="en-US"/>
        </w:rPr>
        <w:t xml:space="preserve"> concrete entries</w:t>
      </w:r>
      <w:r>
        <w:rPr>
          <w:lang w:val="en-US"/>
        </w:rPr>
        <w:t>.</w:t>
      </w:r>
    </w:p>
  </w:footnote>
  <w:footnote w:id="8">
    <w:p w14:paraId="46ED8C01" w14:textId="77777777" w:rsidR="00891FDB" w:rsidRPr="00F573BC" w:rsidRDefault="00891FDB">
      <w:pPr>
        <w:pStyle w:val="Funotentext"/>
        <w:rPr>
          <w:lang w:val="en-US"/>
        </w:rPr>
      </w:pPr>
      <w:r>
        <w:rPr>
          <w:rStyle w:val="Funotenzeichen"/>
        </w:rPr>
        <w:footnoteRef/>
      </w:r>
      <w:r>
        <w:rPr>
          <w:lang w:val="en-GB"/>
        </w:rPr>
        <w:t>It doesn’t “</w:t>
      </w:r>
      <w:r w:rsidRPr="00ED2090">
        <w:rPr>
          <w:lang w:val="en-GB"/>
        </w:rPr>
        <w:t>apply to measures affecting natural persons seeking access to the employment market of a Member, nor shall it apply to measures regarding citizenship, residence or employment on a permanent basis..."</w:t>
      </w:r>
    </w:p>
  </w:footnote>
  <w:footnote w:id="9">
    <w:p w14:paraId="13D6D0BF" w14:textId="05C1382A" w:rsidR="00891FDB" w:rsidRPr="00AE3D5B" w:rsidRDefault="00891FDB">
      <w:pPr>
        <w:pStyle w:val="Funotentext"/>
        <w:rPr>
          <w:lang w:val="en-US"/>
        </w:rPr>
      </w:pPr>
      <w:r>
        <w:rPr>
          <w:rStyle w:val="Funotenzeichen"/>
        </w:rPr>
        <w:footnoteRef/>
      </w:r>
      <w:r w:rsidRPr="00CA3874">
        <w:rPr>
          <w:lang w:val="en-GB"/>
        </w:rPr>
        <w:t xml:space="preserve"> </w:t>
      </w:r>
      <w:r>
        <w:rPr>
          <w:lang w:val="en-US"/>
        </w:rPr>
        <w:t>WTO GATS EU’s Schedule of Specific Commitments GATS/SC/31, April 1994.</w:t>
      </w:r>
    </w:p>
  </w:footnote>
  <w:footnote w:id="10">
    <w:p w14:paraId="2220E5F2" w14:textId="47B1EAAE" w:rsidR="00891FDB" w:rsidRPr="00B657AC" w:rsidRDefault="00891FDB" w:rsidP="009448EC">
      <w:pPr>
        <w:pStyle w:val="Funotentext"/>
        <w:rPr>
          <w:sz w:val="18"/>
          <w:szCs w:val="18"/>
          <w:lang w:val="en-GB"/>
        </w:rPr>
      </w:pPr>
      <w:r w:rsidRPr="00B657AC">
        <w:rPr>
          <w:rStyle w:val="Funotenzeichen"/>
          <w:sz w:val="18"/>
          <w:szCs w:val="18"/>
        </w:rPr>
        <w:footnoteRef/>
      </w:r>
      <w:r w:rsidRPr="00B657AC">
        <w:rPr>
          <w:sz w:val="18"/>
          <w:szCs w:val="18"/>
          <w:lang w:val="en-GB"/>
        </w:rPr>
        <w:t xml:space="preserve">An "intra-corporate transferee" is defined as a natural person working within a juridical </w:t>
      </w:r>
      <w:r>
        <w:rPr>
          <w:sz w:val="18"/>
          <w:szCs w:val="18"/>
          <w:lang w:val="en-GB"/>
        </w:rPr>
        <w:t>person, other than a non-</w:t>
      </w:r>
      <w:r w:rsidRPr="00B657AC">
        <w:rPr>
          <w:sz w:val="18"/>
          <w:szCs w:val="18"/>
          <w:lang w:val="en-GB"/>
        </w:rPr>
        <w:t>profit making organisation, established in the territory of an WTO Member, and being temporarily transferred in the context of the provision of a service through commercial presence in the territory of a Member State</w:t>
      </w:r>
      <w:r>
        <w:rPr>
          <w:sz w:val="18"/>
          <w:szCs w:val="18"/>
          <w:lang w:val="en-GB"/>
        </w:rPr>
        <w:t>.</w:t>
      </w:r>
    </w:p>
    <w:p w14:paraId="63224336" w14:textId="77777777" w:rsidR="00891FDB" w:rsidRPr="009448EC" w:rsidRDefault="00891FDB">
      <w:pPr>
        <w:pStyle w:val="Funotentext"/>
        <w:rPr>
          <w:lang w:val="en-US"/>
        </w:rPr>
      </w:pPr>
    </w:p>
  </w:footnote>
  <w:footnote w:id="11">
    <w:p w14:paraId="347967B4" w14:textId="50794982" w:rsidR="00891FDB" w:rsidRPr="00B657AC" w:rsidRDefault="00891FDB">
      <w:pPr>
        <w:pStyle w:val="Funotentext"/>
        <w:rPr>
          <w:sz w:val="18"/>
          <w:szCs w:val="18"/>
          <w:lang w:val="en-US"/>
        </w:rPr>
      </w:pPr>
      <w:r w:rsidRPr="00B657AC">
        <w:rPr>
          <w:rStyle w:val="Funotenzeichen"/>
          <w:sz w:val="18"/>
          <w:szCs w:val="18"/>
        </w:rPr>
        <w:footnoteRef/>
      </w:r>
      <w:r w:rsidRPr="00C46ED3">
        <w:rPr>
          <w:sz w:val="18"/>
          <w:szCs w:val="18"/>
          <w:lang w:val="en-GB"/>
        </w:rPr>
        <w:t xml:space="preserve"> </w:t>
      </w:r>
      <w:r>
        <w:rPr>
          <w:sz w:val="18"/>
          <w:szCs w:val="18"/>
          <w:lang w:val="en-GB"/>
        </w:rPr>
        <w:t>These r</w:t>
      </w:r>
      <w:r w:rsidRPr="00C46ED3">
        <w:rPr>
          <w:sz w:val="18"/>
          <w:szCs w:val="18"/>
          <w:lang w:val="en-GB"/>
        </w:rPr>
        <w:t>equirements relate to education (</w:t>
      </w:r>
      <w:r w:rsidRPr="000977B7">
        <w:rPr>
          <w:sz w:val="18"/>
          <w:szCs w:val="18"/>
          <w:lang w:val="en-GB"/>
        </w:rPr>
        <w:t>university degree or technical qualifications requirements and professional experience for several years</w:t>
      </w:r>
      <w:r>
        <w:rPr>
          <w:sz w:val="18"/>
          <w:szCs w:val="18"/>
          <w:lang w:val="en-GB"/>
        </w:rPr>
        <w:t>) and n</w:t>
      </w:r>
      <w:r w:rsidRPr="000977B7">
        <w:rPr>
          <w:sz w:val="18"/>
          <w:szCs w:val="18"/>
          <w:lang w:val="en-GB"/>
        </w:rPr>
        <w:t>umerical ceilings</w:t>
      </w:r>
      <w:r>
        <w:rPr>
          <w:sz w:val="18"/>
          <w:szCs w:val="18"/>
          <w:lang w:val="en-GB"/>
        </w:rPr>
        <w:t xml:space="preserve"> (</w:t>
      </w:r>
      <w:r w:rsidRPr="00B657AC">
        <w:rPr>
          <w:sz w:val="18"/>
          <w:szCs w:val="18"/>
          <w:lang w:val="en-US"/>
        </w:rPr>
        <w:t>EC Communication S/C/W/273, October 2006</w:t>
      </w:r>
      <w:r>
        <w:rPr>
          <w:sz w:val="18"/>
          <w:szCs w:val="18"/>
          <w:lang w:val="en-US"/>
        </w:rPr>
        <w:t xml:space="preserve">, available at: </w:t>
      </w:r>
      <w:hyperlink r:id="rId2" w:history="1">
        <w:r w:rsidRPr="00B657AC">
          <w:rPr>
            <w:rStyle w:val="Hyperlink"/>
            <w:sz w:val="18"/>
            <w:szCs w:val="18"/>
            <w:lang w:val="en-US"/>
          </w:rPr>
          <w:t>http://trade.ec.europa.eu/doclib/docs/2012/november/tradoc_150087.pdf</w:t>
        </w:r>
      </w:hyperlink>
      <w:r>
        <w:rPr>
          <w:sz w:val="18"/>
          <w:szCs w:val="18"/>
          <w:lang w:val="en-US"/>
        </w:rPr>
        <w:t xml:space="preserve">, last accessed 21 October 2014). </w:t>
      </w:r>
    </w:p>
  </w:footnote>
  <w:footnote w:id="12">
    <w:p w14:paraId="308C2C40" w14:textId="7B724CC3" w:rsidR="00891FDB" w:rsidRPr="00B657AC" w:rsidRDefault="00891FDB">
      <w:pPr>
        <w:pStyle w:val="Funotentext"/>
        <w:rPr>
          <w:sz w:val="18"/>
          <w:szCs w:val="18"/>
          <w:lang w:val="en-US"/>
        </w:rPr>
      </w:pPr>
      <w:r w:rsidRPr="00B657AC">
        <w:rPr>
          <w:rStyle w:val="Funotenzeichen"/>
          <w:sz w:val="18"/>
          <w:szCs w:val="18"/>
        </w:rPr>
        <w:footnoteRef/>
      </w:r>
      <w:r w:rsidRPr="00C46ED3">
        <w:rPr>
          <w:sz w:val="18"/>
          <w:szCs w:val="18"/>
          <w:lang w:val="en-GB"/>
        </w:rPr>
        <w:t xml:space="preserve"> </w:t>
      </w:r>
      <w:r>
        <w:rPr>
          <w:sz w:val="18"/>
          <w:szCs w:val="18"/>
          <w:lang w:val="en-GB"/>
        </w:rPr>
        <w:t xml:space="preserve">WTO GATS, US </w:t>
      </w:r>
      <w:r w:rsidRPr="00C46ED3">
        <w:rPr>
          <w:sz w:val="18"/>
          <w:szCs w:val="18"/>
          <w:lang w:val="en-GB"/>
        </w:rPr>
        <w:t>Schedule of Specific Comm</w:t>
      </w:r>
      <w:r>
        <w:rPr>
          <w:sz w:val="18"/>
          <w:szCs w:val="18"/>
          <w:lang w:val="en-GB"/>
        </w:rPr>
        <w:t xml:space="preserve">itments, GATS/SC/90, April 1994  </w:t>
      </w:r>
    </w:p>
  </w:footnote>
  <w:footnote w:id="13">
    <w:p w14:paraId="0C8A4E26" w14:textId="77777777" w:rsidR="00891FDB" w:rsidRPr="00F573BC" w:rsidRDefault="00891FDB">
      <w:pPr>
        <w:pStyle w:val="Funotentext"/>
        <w:rPr>
          <w:lang w:val="en-US"/>
        </w:rPr>
      </w:pPr>
      <w:r>
        <w:rPr>
          <w:rStyle w:val="Funotenzeichen"/>
        </w:rPr>
        <w:footnoteRef/>
      </w:r>
      <w:r>
        <w:rPr>
          <w:lang w:val="en-GB"/>
        </w:rPr>
        <w:t>P</w:t>
      </w:r>
      <w:r w:rsidRPr="000A31BA">
        <w:rPr>
          <w:lang w:val="en-GB"/>
        </w:rPr>
        <w:t>ersons engaged in activities related to representing a services supplier for the purpose of negotiating for the sale o</w:t>
      </w:r>
      <w:r>
        <w:rPr>
          <w:lang w:val="en-GB"/>
        </w:rPr>
        <w:t>f the services of that supplier.</w:t>
      </w:r>
    </w:p>
  </w:footnote>
  <w:footnote w:id="14">
    <w:p w14:paraId="4194F577" w14:textId="285993BD" w:rsidR="00891FDB" w:rsidRPr="004F79F7" w:rsidRDefault="00891FDB">
      <w:pPr>
        <w:pStyle w:val="Funotentext"/>
        <w:rPr>
          <w:lang w:val="en-US"/>
        </w:rPr>
      </w:pPr>
      <w:r>
        <w:rPr>
          <w:rStyle w:val="Funotenzeichen"/>
        </w:rPr>
        <w:footnoteRef/>
      </w:r>
      <w:r w:rsidRPr="00CA3874">
        <w:rPr>
          <w:lang w:val="en-GB"/>
        </w:rPr>
        <w:t xml:space="preserve"> </w:t>
      </w:r>
      <w:r>
        <w:rPr>
          <w:lang w:val="en-US"/>
        </w:rPr>
        <w:t>WTO GATS India’s Schedule of Specific Commitments, GATS/SC/42, April 1994.</w:t>
      </w:r>
    </w:p>
  </w:footnote>
  <w:footnote w:id="15">
    <w:p w14:paraId="30E4B271" w14:textId="148C423C" w:rsidR="00891FDB" w:rsidRPr="00722081" w:rsidRDefault="00891FDB">
      <w:pPr>
        <w:pStyle w:val="Funotentext"/>
        <w:rPr>
          <w:sz w:val="18"/>
          <w:szCs w:val="18"/>
          <w:lang w:val="en-US"/>
        </w:rPr>
      </w:pPr>
      <w:r w:rsidRPr="00722081">
        <w:rPr>
          <w:rStyle w:val="Funotenzeichen"/>
          <w:sz w:val="18"/>
          <w:szCs w:val="18"/>
        </w:rPr>
        <w:footnoteRef/>
      </w:r>
      <w:r w:rsidRPr="00C46ED3">
        <w:rPr>
          <w:sz w:val="18"/>
          <w:szCs w:val="18"/>
          <w:lang w:val="en-GB"/>
        </w:rPr>
        <w:t xml:space="preserve"> </w:t>
      </w:r>
      <w:r>
        <w:rPr>
          <w:sz w:val="18"/>
          <w:szCs w:val="18"/>
          <w:lang w:val="en-GB"/>
        </w:rPr>
        <w:t xml:space="preserve">India’s Revised Conditional Offer </w:t>
      </w:r>
      <w:r w:rsidRPr="00C46ED3">
        <w:rPr>
          <w:sz w:val="18"/>
          <w:szCs w:val="18"/>
          <w:lang w:val="en-GB"/>
        </w:rPr>
        <w:t>TN/S/O/IND/Rev.1, August 2005</w:t>
      </w:r>
      <w:r>
        <w:rPr>
          <w:sz w:val="18"/>
          <w:szCs w:val="18"/>
          <w:lang w:val="en-GB"/>
        </w:rPr>
        <w:t xml:space="preserve"> (available at: </w:t>
      </w:r>
      <w:hyperlink r:id="rId3" w:history="1">
        <w:r w:rsidRPr="005C4948">
          <w:rPr>
            <w:rStyle w:val="Hyperlink"/>
            <w:sz w:val="18"/>
            <w:szCs w:val="18"/>
            <w:lang w:val="en-GB"/>
          </w:rPr>
          <w:t>http://commerce.nic.in/trade/revised_offer1.pdf</w:t>
        </w:r>
      </w:hyperlink>
      <w:r>
        <w:rPr>
          <w:sz w:val="18"/>
          <w:szCs w:val="18"/>
          <w:lang w:val="en-GB"/>
        </w:rPr>
        <w:t>, last accessed on 21 October 2014)</w:t>
      </w:r>
      <w:r w:rsidRPr="00C46ED3">
        <w:rPr>
          <w:sz w:val="18"/>
          <w:szCs w:val="18"/>
          <w:lang w:val="en-GB"/>
        </w:rPr>
        <w:t xml:space="preserve">. </w:t>
      </w:r>
    </w:p>
  </w:footnote>
  <w:footnote w:id="16">
    <w:p w14:paraId="509E5A16" w14:textId="4C79F5E9" w:rsidR="00891FDB" w:rsidRPr="00F573BC" w:rsidRDefault="00891FDB">
      <w:pPr>
        <w:pStyle w:val="Funotentext"/>
        <w:rPr>
          <w:lang w:val="en-US"/>
        </w:rPr>
      </w:pPr>
      <w:r>
        <w:rPr>
          <w:rStyle w:val="Funotenzeichen"/>
        </w:rPr>
        <w:footnoteRef/>
      </w:r>
      <w:r>
        <w:rPr>
          <w:lang w:val="en-GB"/>
        </w:rPr>
        <w:t>These are: e</w:t>
      </w:r>
      <w:r w:rsidRPr="00B81B74">
        <w:rPr>
          <w:lang w:val="en-GB"/>
        </w:rPr>
        <w:t>ngineering, architectural services, urban planning and landscape, computer and related services, R&amp;D, management consulting, but excluding legal consultancy, tourist guides, etc.</w:t>
      </w:r>
    </w:p>
  </w:footnote>
  <w:footnote w:id="17">
    <w:p w14:paraId="65F2F14E" w14:textId="35E96A9E" w:rsidR="00891FDB" w:rsidRPr="00C31582" w:rsidRDefault="00891FDB" w:rsidP="00C31582">
      <w:pPr>
        <w:pStyle w:val="Funotentext"/>
        <w:spacing w:after="120"/>
        <w:jc w:val="both"/>
        <w:rPr>
          <w:sz w:val="18"/>
          <w:szCs w:val="18"/>
          <w:lang w:val="en-US"/>
        </w:rPr>
      </w:pPr>
      <w:r w:rsidRPr="00C31582">
        <w:rPr>
          <w:rStyle w:val="Funotenzeichen"/>
          <w:sz w:val="18"/>
          <w:szCs w:val="18"/>
        </w:rPr>
        <w:footnoteRef/>
      </w:r>
      <w:r w:rsidRPr="00C31582">
        <w:rPr>
          <w:sz w:val="18"/>
          <w:szCs w:val="18"/>
          <w:lang w:val="en-US"/>
        </w:rPr>
        <w:t xml:space="preserve"> Other association</w:t>
      </w:r>
      <w:r>
        <w:rPr>
          <w:sz w:val="18"/>
          <w:szCs w:val="18"/>
          <w:lang w:val="en-US"/>
        </w:rPr>
        <w:t>s include</w:t>
      </w:r>
      <w:r w:rsidRPr="00C31582">
        <w:rPr>
          <w:sz w:val="18"/>
          <w:szCs w:val="18"/>
          <w:lang w:val="en-US"/>
        </w:rPr>
        <w:t xml:space="preserve"> the American Chamber of Commerce To the European Union, Businesseurope, the Computer and Communications Industry Association CCIA, the European-American Business Council, and Techamerica.</w:t>
      </w:r>
    </w:p>
  </w:footnote>
  <w:footnote w:id="18">
    <w:p w14:paraId="77B1957E" w14:textId="5DCE5E6B" w:rsidR="00891FDB" w:rsidRPr="008E281D" w:rsidRDefault="00891FDB">
      <w:pPr>
        <w:pStyle w:val="Funotentext"/>
        <w:rPr>
          <w:lang w:val="en-US"/>
        </w:rPr>
      </w:pPr>
      <w:r>
        <w:rPr>
          <w:rStyle w:val="Funotenzeichen"/>
        </w:rPr>
        <w:footnoteRef/>
      </w:r>
      <w:r w:rsidRPr="00CA3874">
        <w:rPr>
          <w:lang w:val="en-GB"/>
        </w:rPr>
        <w:t xml:space="preserve"> </w:t>
      </w:r>
      <w:r>
        <w:rPr>
          <w:lang w:val="en-US"/>
        </w:rPr>
        <w:t>Although, China has recently shown interest in joining the negotiations.</w:t>
      </w:r>
    </w:p>
  </w:footnote>
  <w:footnote w:id="19">
    <w:p w14:paraId="37625B1C" w14:textId="7EE0C33A" w:rsidR="001B69D7" w:rsidRPr="001B69D7" w:rsidRDefault="001B69D7">
      <w:pPr>
        <w:pStyle w:val="Funotentext"/>
        <w:rPr>
          <w:lang w:val="en-US"/>
        </w:rPr>
      </w:pPr>
      <w:r>
        <w:rPr>
          <w:rStyle w:val="Funotenzeichen"/>
        </w:rPr>
        <w:footnoteRef/>
      </w:r>
      <w:r w:rsidRPr="00CA3874">
        <w:rPr>
          <w:lang w:val="en-GB"/>
        </w:rPr>
        <w:t xml:space="preserve"> </w:t>
      </w:r>
      <w:r>
        <w:rPr>
          <w:lang w:val="en-US"/>
        </w:rPr>
        <w:t xml:space="preserve">All </w:t>
      </w:r>
      <w:r w:rsidR="0056598D">
        <w:rPr>
          <w:lang w:val="en-US"/>
        </w:rPr>
        <w:t xml:space="preserve">primary </w:t>
      </w:r>
      <w:r>
        <w:rPr>
          <w:lang w:val="en-US"/>
        </w:rPr>
        <w:t>data has been coded by the authors of this stu</w:t>
      </w:r>
      <w:r w:rsidR="0056598D">
        <w:rPr>
          <w:lang w:val="en-US"/>
        </w:rPr>
        <w:t>dy (for details see Jurje and La</w:t>
      </w:r>
      <w:r>
        <w:rPr>
          <w:lang w:val="en-US"/>
        </w:rPr>
        <w:t>venex 2014).</w:t>
      </w:r>
    </w:p>
  </w:footnote>
  <w:footnote w:id="20">
    <w:p w14:paraId="34202C15" w14:textId="46569D1A" w:rsidR="00891FDB" w:rsidRPr="000D0621" w:rsidRDefault="00891FDB" w:rsidP="00613B27">
      <w:pPr>
        <w:pStyle w:val="Funotentext"/>
        <w:rPr>
          <w:lang w:val="en-US"/>
        </w:rPr>
      </w:pPr>
      <w:r>
        <w:rPr>
          <w:rStyle w:val="Funotenzeichen"/>
        </w:rPr>
        <w:footnoteRef/>
      </w:r>
      <w:r>
        <w:rPr>
          <w:lang w:val="en-US"/>
        </w:rPr>
        <w:t>M</w:t>
      </w:r>
      <w:r w:rsidRPr="00971957">
        <w:rPr>
          <w:lang w:val="en-US"/>
        </w:rPr>
        <w:t xml:space="preserve">easured as percentage of respective commitments out of the total number of FTAs covering services </w:t>
      </w:r>
      <w:r>
        <w:rPr>
          <w:lang w:val="en-US"/>
        </w:rPr>
        <w:t>in</w:t>
      </w:r>
      <w:r w:rsidRPr="00971957">
        <w:rPr>
          <w:lang w:val="en-US"/>
        </w:rPr>
        <w:t xml:space="preserve"> each country</w:t>
      </w:r>
      <w:r>
        <w:rPr>
          <w:lang w:val="en-US"/>
        </w:rPr>
        <w:t>.</w:t>
      </w:r>
    </w:p>
  </w:footnote>
  <w:footnote w:id="21">
    <w:p w14:paraId="5147E6F0" w14:textId="496FDFB4" w:rsidR="00891FDB" w:rsidRPr="00B94AA0" w:rsidRDefault="00891FDB" w:rsidP="00B94AA0">
      <w:pPr>
        <w:pStyle w:val="Funotentext"/>
        <w:spacing w:after="120"/>
        <w:jc w:val="both"/>
        <w:rPr>
          <w:sz w:val="18"/>
          <w:szCs w:val="18"/>
          <w:lang w:val="en-GB"/>
        </w:rPr>
      </w:pPr>
      <w:r w:rsidRPr="00B94AA0">
        <w:rPr>
          <w:rStyle w:val="Funotenzeichen"/>
          <w:sz w:val="18"/>
          <w:szCs w:val="18"/>
        </w:rPr>
        <w:footnoteRef/>
      </w:r>
      <w:r w:rsidRPr="00B94AA0">
        <w:rPr>
          <w:sz w:val="18"/>
          <w:szCs w:val="18"/>
          <w:lang w:val="en-GB"/>
        </w:rPr>
        <w:t xml:space="preserve"> US-Israel, US-Canada-Mexico, US-Jordan, US-Australia, US-Chile, US-Singapore, US-Bahrain, US-Morocco, US-Oman, US-Peru, US-Dominican Republic, US-Panama, US-Colombia, US-South Kor</w:t>
      </w:r>
      <w:r w:rsidR="00BC05F4">
        <w:rPr>
          <w:sz w:val="18"/>
          <w:szCs w:val="18"/>
          <w:lang w:val="en-GB"/>
        </w:rPr>
        <w:t xml:space="preserve">ea. </w:t>
      </w:r>
    </w:p>
  </w:footnote>
  <w:footnote w:id="22">
    <w:p w14:paraId="4E735FB3" w14:textId="77777777" w:rsidR="00891FDB" w:rsidRPr="00E36C0C" w:rsidRDefault="00891FDB" w:rsidP="00E36C0C">
      <w:pPr>
        <w:pStyle w:val="Funotentext"/>
        <w:spacing w:after="120"/>
        <w:jc w:val="both"/>
        <w:rPr>
          <w:sz w:val="18"/>
          <w:szCs w:val="18"/>
          <w:lang w:val="en-GB"/>
        </w:rPr>
      </w:pPr>
      <w:r w:rsidRPr="00E36C0C">
        <w:rPr>
          <w:rStyle w:val="Funotenzeichen"/>
          <w:sz w:val="18"/>
          <w:szCs w:val="18"/>
        </w:rPr>
        <w:footnoteRef/>
      </w:r>
      <w:r w:rsidRPr="00E36C0C">
        <w:rPr>
          <w:sz w:val="18"/>
          <w:szCs w:val="18"/>
          <w:lang w:val="en-GB"/>
        </w:rPr>
        <w:t xml:space="preserve"> Twenty-nine sectors have been opened to service suppliers that are not already established in Europe for up to 6 months and eleven sectors for self-employed service providers (CRNM, 2009: 25).</w:t>
      </w:r>
    </w:p>
  </w:footnote>
  <w:footnote w:id="23">
    <w:p w14:paraId="3B2B400D" w14:textId="77777777" w:rsidR="00891FDB" w:rsidRPr="00E36C0C" w:rsidRDefault="00891FDB" w:rsidP="00E36C0C">
      <w:pPr>
        <w:pStyle w:val="Funotentext"/>
        <w:spacing w:after="120"/>
        <w:jc w:val="both"/>
        <w:rPr>
          <w:sz w:val="18"/>
          <w:szCs w:val="18"/>
          <w:lang w:val="en-US"/>
        </w:rPr>
      </w:pPr>
      <w:r w:rsidRPr="00E36C0C">
        <w:rPr>
          <w:rStyle w:val="Funotenzeichen"/>
          <w:sz w:val="18"/>
          <w:szCs w:val="18"/>
        </w:rPr>
        <w:footnoteRef/>
      </w:r>
      <w:r w:rsidRPr="00E36C0C">
        <w:rPr>
          <w:sz w:val="18"/>
          <w:szCs w:val="18"/>
          <w:lang w:val="en-US"/>
        </w:rPr>
        <w:t xml:space="preserve">Besides </w:t>
      </w:r>
      <w:r>
        <w:rPr>
          <w:sz w:val="18"/>
          <w:szCs w:val="18"/>
          <w:lang w:val="en-US"/>
        </w:rPr>
        <w:t>ICTs, BVs, CSSs</w:t>
      </w:r>
      <w:r w:rsidRPr="00E36C0C">
        <w:rPr>
          <w:sz w:val="18"/>
          <w:szCs w:val="18"/>
          <w:lang w:val="en-US"/>
        </w:rPr>
        <w:t>,</w:t>
      </w:r>
      <w:r>
        <w:rPr>
          <w:sz w:val="18"/>
          <w:szCs w:val="18"/>
          <w:lang w:val="en-US"/>
        </w:rPr>
        <w:t xml:space="preserve"> IPs,</w:t>
      </w:r>
      <w:r w:rsidRPr="00E36C0C">
        <w:rPr>
          <w:sz w:val="18"/>
          <w:szCs w:val="18"/>
          <w:lang w:val="en-US"/>
        </w:rPr>
        <w:t xml:space="preserve"> India has </w:t>
      </w:r>
      <w:r>
        <w:rPr>
          <w:sz w:val="18"/>
          <w:szCs w:val="18"/>
          <w:lang w:val="en-US"/>
        </w:rPr>
        <w:t xml:space="preserve">also </w:t>
      </w:r>
      <w:r w:rsidRPr="00E36C0C">
        <w:rPr>
          <w:sz w:val="18"/>
          <w:szCs w:val="18"/>
          <w:lang w:val="en-US"/>
        </w:rPr>
        <w:t xml:space="preserve">defined sub-categories </w:t>
      </w:r>
      <w:r>
        <w:rPr>
          <w:sz w:val="18"/>
          <w:szCs w:val="18"/>
          <w:lang w:val="en-US"/>
        </w:rPr>
        <w:t xml:space="preserve">of </w:t>
      </w:r>
      <w:r w:rsidRPr="00E36C0C">
        <w:rPr>
          <w:sz w:val="18"/>
          <w:szCs w:val="18"/>
          <w:lang w:val="en-US"/>
        </w:rPr>
        <w:t>service seller, goods seller, investor, trader, in</w:t>
      </w:r>
      <w:r>
        <w:rPr>
          <w:sz w:val="18"/>
          <w:szCs w:val="18"/>
          <w:lang w:val="en-US"/>
        </w:rPr>
        <w:t>staller, servicer of machinery.</w:t>
      </w:r>
    </w:p>
  </w:footnote>
  <w:footnote w:id="24">
    <w:p w14:paraId="05450D64" w14:textId="35876638" w:rsidR="00891FDB" w:rsidRPr="00F573BC" w:rsidRDefault="00891FDB">
      <w:pPr>
        <w:pStyle w:val="Funotentext"/>
        <w:rPr>
          <w:lang w:val="en-US"/>
        </w:rPr>
      </w:pPr>
      <w:r>
        <w:rPr>
          <w:rStyle w:val="Funotenzeichen"/>
        </w:rPr>
        <w:footnoteRef/>
      </w:r>
      <w:r>
        <w:rPr>
          <w:lang w:val="en-US"/>
        </w:rPr>
        <w:t xml:space="preserve">NAFTA Treaty, </w:t>
      </w:r>
      <w:r w:rsidRPr="00045445">
        <w:rPr>
          <w:lang w:val="en-US"/>
        </w:rPr>
        <w:t>Appendix 1603.D.1</w:t>
      </w:r>
      <w:r>
        <w:rPr>
          <w:lang w:val="en-US"/>
        </w:rPr>
        <w:t>.</w:t>
      </w:r>
    </w:p>
  </w:footnote>
  <w:footnote w:id="25">
    <w:p w14:paraId="451F6090" w14:textId="62F2B396" w:rsidR="00891FDB" w:rsidRPr="00BE34B3" w:rsidRDefault="00891FDB">
      <w:pPr>
        <w:pStyle w:val="Funotentext"/>
        <w:rPr>
          <w:sz w:val="18"/>
          <w:szCs w:val="18"/>
          <w:lang w:val="en-US"/>
        </w:rPr>
      </w:pPr>
      <w:r w:rsidRPr="00BE34B3">
        <w:rPr>
          <w:rStyle w:val="Funotenzeichen"/>
          <w:sz w:val="18"/>
          <w:szCs w:val="18"/>
        </w:rPr>
        <w:footnoteRef/>
      </w:r>
      <w:r w:rsidRPr="00BE34B3">
        <w:rPr>
          <w:sz w:val="18"/>
          <w:szCs w:val="18"/>
          <w:lang w:val="en-US"/>
        </w:rPr>
        <w:t>Indonesia</w:t>
      </w:r>
      <w:r>
        <w:rPr>
          <w:sz w:val="18"/>
          <w:szCs w:val="18"/>
          <w:lang w:val="en-US"/>
        </w:rPr>
        <w:t>, Philippines and Lao</w:t>
      </w:r>
      <w:r w:rsidRPr="00BE34B3">
        <w:rPr>
          <w:sz w:val="18"/>
          <w:szCs w:val="18"/>
          <w:lang w:val="en-US"/>
        </w:rPr>
        <w:t xml:space="preserve"> </w:t>
      </w:r>
      <w:r>
        <w:rPr>
          <w:sz w:val="18"/>
          <w:szCs w:val="18"/>
          <w:lang w:val="en-US"/>
        </w:rPr>
        <w:t>are</w:t>
      </w:r>
      <w:r w:rsidRPr="00BE34B3">
        <w:rPr>
          <w:sz w:val="18"/>
          <w:szCs w:val="18"/>
          <w:lang w:val="en-US"/>
        </w:rPr>
        <w:t xml:space="preserve"> still to ratify the </w:t>
      </w:r>
      <w:r>
        <w:rPr>
          <w:sz w:val="18"/>
          <w:szCs w:val="18"/>
          <w:lang w:val="en-US"/>
        </w:rPr>
        <w:t xml:space="preserve">MNP </w:t>
      </w:r>
      <w:r w:rsidRPr="00BE34B3">
        <w:rPr>
          <w:sz w:val="18"/>
          <w:szCs w:val="18"/>
          <w:lang w:val="en-US"/>
        </w:rPr>
        <w:t>agreement (</w:t>
      </w:r>
      <w:r w:rsidRPr="00E10495">
        <w:rPr>
          <w:sz w:val="18"/>
          <w:szCs w:val="18"/>
          <w:lang w:val="en-US"/>
        </w:rPr>
        <w:t xml:space="preserve">Interview </w:t>
      </w:r>
      <w:r>
        <w:rPr>
          <w:sz w:val="18"/>
          <w:szCs w:val="18"/>
          <w:lang w:val="en-US"/>
        </w:rPr>
        <w:t>11</w:t>
      </w:r>
      <w:r w:rsidRPr="00BE34B3">
        <w:rPr>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0E"/>
    <w:multiLevelType w:val="hybridMultilevel"/>
    <w:tmpl w:val="868AF7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39E6BFC"/>
    <w:multiLevelType w:val="hybridMultilevel"/>
    <w:tmpl w:val="51BCFF0E"/>
    <w:lvl w:ilvl="0" w:tplc="CD42100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086717B9"/>
    <w:multiLevelType w:val="hybridMultilevel"/>
    <w:tmpl w:val="4F04DE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C46501"/>
    <w:multiLevelType w:val="hybridMultilevel"/>
    <w:tmpl w:val="2646B35E"/>
    <w:lvl w:ilvl="0" w:tplc="A60490C4">
      <w:start w:val="1"/>
      <w:numFmt w:val="bullet"/>
      <w:lvlText w:val=""/>
      <w:lvlJc w:val="left"/>
      <w:pPr>
        <w:ind w:left="468" w:hanging="351"/>
      </w:pPr>
      <w:rPr>
        <w:rFonts w:ascii="Symbol" w:eastAsia="Symbol" w:hAnsi="Symbol" w:hint="default"/>
        <w:w w:val="101"/>
        <w:sz w:val="23"/>
        <w:szCs w:val="23"/>
      </w:rPr>
    </w:lvl>
    <w:lvl w:ilvl="1" w:tplc="24BA547E">
      <w:start w:val="1"/>
      <w:numFmt w:val="bullet"/>
      <w:lvlText w:val="•"/>
      <w:lvlJc w:val="left"/>
      <w:pPr>
        <w:ind w:left="1361" w:hanging="351"/>
      </w:pPr>
      <w:rPr>
        <w:rFonts w:hint="default"/>
      </w:rPr>
    </w:lvl>
    <w:lvl w:ilvl="2" w:tplc="D6E829E2">
      <w:start w:val="1"/>
      <w:numFmt w:val="bullet"/>
      <w:lvlText w:val="•"/>
      <w:lvlJc w:val="left"/>
      <w:pPr>
        <w:ind w:left="2254" w:hanging="351"/>
      </w:pPr>
      <w:rPr>
        <w:rFonts w:hint="default"/>
      </w:rPr>
    </w:lvl>
    <w:lvl w:ilvl="3" w:tplc="413C12AE">
      <w:start w:val="1"/>
      <w:numFmt w:val="bullet"/>
      <w:lvlText w:val="•"/>
      <w:lvlJc w:val="left"/>
      <w:pPr>
        <w:ind w:left="3147" w:hanging="351"/>
      </w:pPr>
      <w:rPr>
        <w:rFonts w:hint="default"/>
      </w:rPr>
    </w:lvl>
    <w:lvl w:ilvl="4" w:tplc="097E7AAC">
      <w:start w:val="1"/>
      <w:numFmt w:val="bullet"/>
      <w:lvlText w:val="•"/>
      <w:lvlJc w:val="left"/>
      <w:pPr>
        <w:ind w:left="4040" w:hanging="351"/>
      </w:pPr>
      <w:rPr>
        <w:rFonts w:hint="default"/>
      </w:rPr>
    </w:lvl>
    <w:lvl w:ilvl="5" w:tplc="A7F4D408">
      <w:start w:val="1"/>
      <w:numFmt w:val="bullet"/>
      <w:lvlText w:val="•"/>
      <w:lvlJc w:val="left"/>
      <w:pPr>
        <w:ind w:left="4934" w:hanging="351"/>
      </w:pPr>
      <w:rPr>
        <w:rFonts w:hint="default"/>
      </w:rPr>
    </w:lvl>
    <w:lvl w:ilvl="6" w:tplc="DF684ECA">
      <w:start w:val="1"/>
      <w:numFmt w:val="bullet"/>
      <w:lvlText w:val="•"/>
      <w:lvlJc w:val="left"/>
      <w:pPr>
        <w:ind w:left="5827" w:hanging="351"/>
      </w:pPr>
      <w:rPr>
        <w:rFonts w:hint="default"/>
      </w:rPr>
    </w:lvl>
    <w:lvl w:ilvl="7" w:tplc="F6C4855A">
      <w:start w:val="1"/>
      <w:numFmt w:val="bullet"/>
      <w:lvlText w:val="•"/>
      <w:lvlJc w:val="left"/>
      <w:pPr>
        <w:ind w:left="6720" w:hanging="351"/>
      </w:pPr>
      <w:rPr>
        <w:rFonts w:hint="default"/>
      </w:rPr>
    </w:lvl>
    <w:lvl w:ilvl="8" w:tplc="5A502166">
      <w:start w:val="1"/>
      <w:numFmt w:val="bullet"/>
      <w:lvlText w:val="•"/>
      <w:lvlJc w:val="left"/>
      <w:pPr>
        <w:ind w:left="7613" w:hanging="351"/>
      </w:pPr>
      <w:rPr>
        <w:rFonts w:hint="default"/>
      </w:rPr>
    </w:lvl>
  </w:abstractNum>
  <w:abstractNum w:abstractNumId="4">
    <w:nsid w:val="120E5315"/>
    <w:multiLevelType w:val="hybridMultilevel"/>
    <w:tmpl w:val="F0B29452"/>
    <w:lvl w:ilvl="0" w:tplc="9F6A55FA">
      <w:start w:val="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4216AD"/>
    <w:multiLevelType w:val="hybridMultilevel"/>
    <w:tmpl w:val="1CDEFA0E"/>
    <w:lvl w:ilvl="0" w:tplc="72D02AAE">
      <w:start w:val="1"/>
      <w:numFmt w:val="decimal"/>
      <w:lvlText w:val="%1."/>
      <w:lvlJc w:val="left"/>
      <w:pPr>
        <w:ind w:left="468" w:hanging="351"/>
      </w:pPr>
      <w:rPr>
        <w:rFonts w:ascii="Times New Roman" w:eastAsia="Times New Roman" w:hAnsi="Times New Roman" w:hint="default"/>
        <w:spacing w:val="1"/>
        <w:w w:val="101"/>
        <w:sz w:val="19"/>
        <w:szCs w:val="19"/>
      </w:rPr>
    </w:lvl>
    <w:lvl w:ilvl="1" w:tplc="BD46CA86">
      <w:start w:val="1"/>
      <w:numFmt w:val="bullet"/>
      <w:lvlText w:val="•"/>
      <w:lvlJc w:val="left"/>
      <w:pPr>
        <w:ind w:left="1359" w:hanging="351"/>
      </w:pPr>
      <w:rPr>
        <w:rFonts w:hint="default"/>
      </w:rPr>
    </w:lvl>
    <w:lvl w:ilvl="2" w:tplc="21A65BF6">
      <w:start w:val="1"/>
      <w:numFmt w:val="bullet"/>
      <w:lvlText w:val="•"/>
      <w:lvlJc w:val="left"/>
      <w:pPr>
        <w:ind w:left="2250" w:hanging="351"/>
      </w:pPr>
      <w:rPr>
        <w:rFonts w:hint="default"/>
      </w:rPr>
    </w:lvl>
    <w:lvl w:ilvl="3" w:tplc="578886F0">
      <w:start w:val="1"/>
      <w:numFmt w:val="bullet"/>
      <w:lvlText w:val="•"/>
      <w:lvlJc w:val="left"/>
      <w:pPr>
        <w:ind w:left="3141" w:hanging="351"/>
      </w:pPr>
      <w:rPr>
        <w:rFonts w:hint="default"/>
      </w:rPr>
    </w:lvl>
    <w:lvl w:ilvl="4" w:tplc="450685B8">
      <w:start w:val="1"/>
      <w:numFmt w:val="bullet"/>
      <w:lvlText w:val="•"/>
      <w:lvlJc w:val="left"/>
      <w:pPr>
        <w:ind w:left="4032" w:hanging="351"/>
      </w:pPr>
      <w:rPr>
        <w:rFonts w:hint="default"/>
      </w:rPr>
    </w:lvl>
    <w:lvl w:ilvl="5" w:tplc="83A28498">
      <w:start w:val="1"/>
      <w:numFmt w:val="bullet"/>
      <w:lvlText w:val="•"/>
      <w:lvlJc w:val="left"/>
      <w:pPr>
        <w:ind w:left="4924" w:hanging="351"/>
      </w:pPr>
      <w:rPr>
        <w:rFonts w:hint="default"/>
      </w:rPr>
    </w:lvl>
    <w:lvl w:ilvl="6" w:tplc="39608E86">
      <w:start w:val="1"/>
      <w:numFmt w:val="bullet"/>
      <w:lvlText w:val="•"/>
      <w:lvlJc w:val="left"/>
      <w:pPr>
        <w:ind w:left="5815" w:hanging="351"/>
      </w:pPr>
      <w:rPr>
        <w:rFonts w:hint="default"/>
      </w:rPr>
    </w:lvl>
    <w:lvl w:ilvl="7" w:tplc="3B62737E">
      <w:start w:val="1"/>
      <w:numFmt w:val="bullet"/>
      <w:lvlText w:val="•"/>
      <w:lvlJc w:val="left"/>
      <w:pPr>
        <w:ind w:left="6706" w:hanging="351"/>
      </w:pPr>
      <w:rPr>
        <w:rFonts w:hint="default"/>
      </w:rPr>
    </w:lvl>
    <w:lvl w:ilvl="8" w:tplc="393410C4">
      <w:start w:val="1"/>
      <w:numFmt w:val="bullet"/>
      <w:lvlText w:val="•"/>
      <w:lvlJc w:val="left"/>
      <w:pPr>
        <w:ind w:left="7597" w:hanging="351"/>
      </w:pPr>
      <w:rPr>
        <w:rFonts w:hint="default"/>
      </w:rPr>
    </w:lvl>
  </w:abstractNum>
  <w:abstractNum w:abstractNumId="6">
    <w:nsid w:val="24B27F6A"/>
    <w:multiLevelType w:val="hybridMultilevel"/>
    <w:tmpl w:val="3E2A3746"/>
    <w:lvl w:ilvl="0" w:tplc="7FB24AA2">
      <w:start w:val="1"/>
      <w:numFmt w:val="decimal"/>
      <w:lvlText w:val="%1."/>
      <w:lvlJc w:val="left"/>
      <w:pPr>
        <w:ind w:left="405" w:hanging="360"/>
      </w:pPr>
      <w:rPr>
        <w:rFonts w:hint="default"/>
      </w:rPr>
    </w:lvl>
    <w:lvl w:ilvl="1" w:tplc="08070019">
      <w:start w:val="1"/>
      <w:numFmt w:val="lowerLetter"/>
      <w:lvlText w:val="%2."/>
      <w:lvlJc w:val="left"/>
      <w:pPr>
        <w:ind w:left="1125" w:hanging="360"/>
      </w:pPr>
    </w:lvl>
    <w:lvl w:ilvl="2" w:tplc="C002B152">
      <w:start w:val="1"/>
      <w:numFmt w:val="bullet"/>
      <w:lvlText w:val="-"/>
      <w:lvlJc w:val="left"/>
      <w:pPr>
        <w:ind w:left="2025" w:hanging="360"/>
      </w:pPr>
      <w:rPr>
        <w:rFonts w:ascii="Calibri" w:eastAsiaTheme="minorHAnsi" w:hAnsi="Calibri" w:cstheme="minorBidi" w:hint="default"/>
      </w:rPr>
    </w:lvl>
    <w:lvl w:ilvl="3" w:tplc="0807000F" w:tentative="1">
      <w:start w:val="1"/>
      <w:numFmt w:val="decimal"/>
      <w:lvlText w:val="%4."/>
      <w:lvlJc w:val="left"/>
      <w:pPr>
        <w:ind w:left="2565" w:hanging="360"/>
      </w:pPr>
    </w:lvl>
    <w:lvl w:ilvl="4" w:tplc="08070019" w:tentative="1">
      <w:start w:val="1"/>
      <w:numFmt w:val="lowerLetter"/>
      <w:lvlText w:val="%5."/>
      <w:lvlJc w:val="left"/>
      <w:pPr>
        <w:ind w:left="3285" w:hanging="360"/>
      </w:pPr>
    </w:lvl>
    <w:lvl w:ilvl="5" w:tplc="0807001B" w:tentative="1">
      <w:start w:val="1"/>
      <w:numFmt w:val="lowerRoman"/>
      <w:lvlText w:val="%6."/>
      <w:lvlJc w:val="right"/>
      <w:pPr>
        <w:ind w:left="4005" w:hanging="180"/>
      </w:pPr>
    </w:lvl>
    <w:lvl w:ilvl="6" w:tplc="0807000F" w:tentative="1">
      <w:start w:val="1"/>
      <w:numFmt w:val="decimal"/>
      <w:lvlText w:val="%7."/>
      <w:lvlJc w:val="left"/>
      <w:pPr>
        <w:ind w:left="4725" w:hanging="360"/>
      </w:pPr>
    </w:lvl>
    <w:lvl w:ilvl="7" w:tplc="08070019" w:tentative="1">
      <w:start w:val="1"/>
      <w:numFmt w:val="lowerLetter"/>
      <w:lvlText w:val="%8."/>
      <w:lvlJc w:val="left"/>
      <w:pPr>
        <w:ind w:left="5445" w:hanging="360"/>
      </w:pPr>
    </w:lvl>
    <w:lvl w:ilvl="8" w:tplc="0807001B" w:tentative="1">
      <w:start w:val="1"/>
      <w:numFmt w:val="lowerRoman"/>
      <w:lvlText w:val="%9."/>
      <w:lvlJc w:val="right"/>
      <w:pPr>
        <w:ind w:left="6165" w:hanging="180"/>
      </w:pPr>
    </w:lvl>
  </w:abstractNum>
  <w:abstractNum w:abstractNumId="7">
    <w:nsid w:val="24D41227"/>
    <w:multiLevelType w:val="hybridMultilevel"/>
    <w:tmpl w:val="A2485266"/>
    <w:lvl w:ilvl="0" w:tplc="BD921B90">
      <w:start w:val="4"/>
      <w:numFmt w:val="bullet"/>
      <w:lvlText w:val="-"/>
      <w:lvlJc w:val="left"/>
      <w:pPr>
        <w:ind w:left="1211" w:hanging="360"/>
      </w:pPr>
      <w:rPr>
        <w:rFonts w:ascii="Calibri" w:eastAsiaTheme="minorHAnsi" w:hAnsi="Calibri"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A1220EF"/>
    <w:multiLevelType w:val="hybridMultilevel"/>
    <w:tmpl w:val="6A04A7C2"/>
    <w:lvl w:ilvl="0" w:tplc="7DDA8158">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B94E0C"/>
    <w:multiLevelType w:val="multilevel"/>
    <w:tmpl w:val="D7B4D3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372316"/>
    <w:multiLevelType w:val="hybridMultilevel"/>
    <w:tmpl w:val="58703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207F7D"/>
    <w:multiLevelType w:val="hybridMultilevel"/>
    <w:tmpl w:val="F19A53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6F84A72"/>
    <w:multiLevelType w:val="hybridMultilevel"/>
    <w:tmpl w:val="4E08DDB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AC707E3"/>
    <w:multiLevelType w:val="hybridMultilevel"/>
    <w:tmpl w:val="C93C75C4"/>
    <w:lvl w:ilvl="0" w:tplc="2E689968">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50552D"/>
    <w:multiLevelType w:val="multilevel"/>
    <w:tmpl w:val="BB4495D8"/>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nsid w:val="4CC02333"/>
    <w:multiLevelType w:val="hybridMultilevel"/>
    <w:tmpl w:val="210AFDE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E6A070E"/>
    <w:multiLevelType w:val="hybridMultilevel"/>
    <w:tmpl w:val="CBB440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13F1371"/>
    <w:multiLevelType w:val="hybridMultilevel"/>
    <w:tmpl w:val="C5282738"/>
    <w:lvl w:ilvl="0" w:tplc="49223410">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2B52B22"/>
    <w:multiLevelType w:val="multilevel"/>
    <w:tmpl w:val="D730F6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D44596"/>
    <w:multiLevelType w:val="hybridMultilevel"/>
    <w:tmpl w:val="7B084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6269C8"/>
    <w:multiLevelType w:val="hybridMultilevel"/>
    <w:tmpl w:val="F0741B20"/>
    <w:lvl w:ilvl="0" w:tplc="9E80117A">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48B125B"/>
    <w:multiLevelType w:val="hybridMultilevel"/>
    <w:tmpl w:val="CBDEBDC4"/>
    <w:lvl w:ilvl="0" w:tplc="97F87C8C">
      <w:start w:val="1"/>
      <w:numFmt w:val="decimal"/>
      <w:lvlText w:val="%1)"/>
      <w:lvlJc w:val="left"/>
      <w:pPr>
        <w:ind w:left="468" w:hanging="351"/>
      </w:pPr>
      <w:rPr>
        <w:rFonts w:ascii="Times New Roman" w:eastAsia="Times New Roman" w:hAnsi="Times New Roman" w:hint="default"/>
        <w:w w:val="101"/>
        <w:sz w:val="23"/>
        <w:szCs w:val="23"/>
      </w:rPr>
    </w:lvl>
    <w:lvl w:ilvl="1" w:tplc="94C037B0">
      <w:start w:val="1"/>
      <w:numFmt w:val="bullet"/>
      <w:lvlText w:val="•"/>
      <w:lvlJc w:val="left"/>
      <w:pPr>
        <w:ind w:left="1359" w:hanging="351"/>
      </w:pPr>
      <w:rPr>
        <w:rFonts w:hint="default"/>
      </w:rPr>
    </w:lvl>
    <w:lvl w:ilvl="2" w:tplc="D6AAEADA">
      <w:start w:val="1"/>
      <w:numFmt w:val="bullet"/>
      <w:lvlText w:val="•"/>
      <w:lvlJc w:val="left"/>
      <w:pPr>
        <w:ind w:left="2250" w:hanging="351"/>
      </w:pPr>
      <w:rPr>
        <w:rFonts w:hint="default"/>
      </w:rPr>
    </w:lvl>
    <w:lvl w:ilvl="3" w:tplc="54E4438C">
      <w:start w:val="1"/>
      <w:numFmt w:val="bullet"/>
      <w:lvlText w:val="•"/>
      <w:lvlJc w:val="left"/>
      <w:pPr>
        <w:ind w:left="3141" w:hanging="351"/>
      </w:pPr>
      <w:rPr>
        <w:rFonts w:hint="default"/>
      </w:rPr>
    </w:lvl>
    <w:lvl w:ilvl="4" w:tplc="D5A6DDE2">
      <w:start w:val="1"/>
      <w:numFmt w:val="bullet"/>
      <w:lvlText w:val="•"/>
      <w:lvlJc w:val="left"/>
      <w:pPr>
        <w:ind w:left="4032" w:hanging="351"/>
      </w:pPr>
      <w:rPr>
        <w:rFonts w:hint="default"/>
      </w:rPr>
    </w:lvl>
    <w:lvl w:ilvl="5" w:tplc="DAA22E5E">
      <w:start w:val="1"/>
      <w:numFmt w:val="bullet"/>
      <w:lvlText w:val="•"/>
      <w:lvlJc w:val="left"/>
      <w:pPr>
        <w:ind w:left="4924" w:hanging="351"/>
      </w:pPr>
      <w:rPr>
        <w:rFonts w:hint="default"/>
      </w:rPr>
    </w:lvl>
    <w:lvl w:ilvl="6" w:tplc="59DCDA10">
      <w:start w:val="1"/>
      <w:numFmt w:val="bullet"/>
      <w:lvlText w:val="•"/>
      <w:lvlJc w:val="left"/>
      <w:pPr>
        <w:ind w:left="5815" w:hanging="351"/>
      </w:pPr>
      <w:rPr>
        <w:rFonts w:hint="default"/>
      </w:rPr>
    </w:lvl>
    <w:lvl w:ilvl="7" w:tplc="48263074">
      <w:start w:val="1"/>
      <w:numFmt w:val="bullet"/>
      <w:lvlText w:val="•"/>
      <w:lvlJc w:val="left"/>
      <w:pPr>
        <w:ind w:left="6706" w:hanging="351"/>
      </w:pPr>
      <w:rPr>
        <w:rFonts w:hint="default"/>
      </w:rPr>
    </w:lvl>
    <w:lvl w:ilvl="8" w:tplc="51C0B2B4">
      <w:start w:val="1"/>
      <w:numFmt w:val="bullet"/>
      <w:lvlText w:val="•"/>
      <w:lvlJc w:val="left"/>
      <w:pPr>
        <w:ind w:left="7597" w:hanging="351"/>
      </w:pPr>
      <w:rPr>
        <w:rFonts w:hint="default"/>
      </w:rPr>
    </w:lvl>
  </w:abstractNum>
  <w:abstractNum w:abstractNumId="22">
    <w:nsid w:val="66A52032"/>
    <w:multiLevelType w:val="hybridMultilevel"/>
    <w:tmpl w:val="8B44178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4510D4B"/>
    <w:multiLevelType w:val="hybridMultilevel"/>
    <w:tmpl w:val="73A2A794"/>
    <w:lvl w:ilvl="0" w:tplc="3416AD22">
      <w:start w:val="4"/>
      <w:numFmt w:val="bullet"/>
      <w:lvlText w:val="-"/>
      <w:lvlJc w:val="left"/>
      <w:pPr>
        <w:ind w:left="1211" w:hanging="360"/>
      </w:pPr>
      <w:rPr>
        <w:rFonts w:ascii="Calibri" w:eastAsiaTheme="minorHAnsi" w:hAnsi="Calibri" w:cs="Times New Roman"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15"/>
  </w:num>
  <w:num w:numId="3">
    <w:abstractNumId w:val="22"/>
  </w:num>
  <w:num w:numId="4">
    <w:abstractNumId w:val="14"/>
  </w:num>
  <w:num w:numId="5">
    <w:abstractNumId w:val="6"/>
  </w:num>
  <w:num w:numId="6">
    <w:abstractNumId w:val="11"/>
  </w:num>
  <w:num w:numId="7">
    <w:abstractNumId w:val="10"/>
  </w:num>
  <w:num w:numId="8">
    <w:abstractNumId w:val="13"/>
  </w:num>
  <w:num w:numId="9">
    <w:abstractNumId w:val="1"/>
  </w:num>
  <w:num w:numId="10">
    <w:abstractNumId w:val="0"/>
  </w:num>
  <w:num w:numId="11">
    <w:abstractNumId w:val="2"/>
  </w:num>
  <w:num w:numId="12">
    <w:abstractNumId w:val="18"/>
  </w:num>
  <w:num w:numId="13">
    <w:abstractNumId w:val="9"/>
  </w:num>
  <w:num w:numId="14">
    <w:abstractNumId w:val="4"/>
  </w:num>
  <w:num w:numId="15">
    <w:abstractNumId w:val="17"/>
  </w:num>
  <w:num w:numId="16">
    <w:abstractNumId w:val="23"/>
  </w:num>
  <w:num w:numId="17">
    <w:abstractNumId w:val="8"/>
  </w:num>
  <w:num w:numId="18">
    <w:abstractNumId w:val="7"/>
  </w:num>
  <w:num w:numId="19">
    <w:abstractNumId w:val="19"/>
  </w:num>
  <w:num w:numId="20">
    <w:abstractNumId w:val="3"/>
  </w:num>
  <w:num w:numId="21">
    <w:abstractNumId w:val="21"/>
  </w:num>
  <w:num w:numId="22">
    <w:abstractNumId w:val="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C2"/>
    <w:rsid w:val="0000025A"/>
    <w:rsid w:val="000006EF"/>
    <w:rsid w:val="00000BEB"/>
    <w:rsid w:val="0000123B"/>
    <w:rsid w:val="000027AF"/>
    <w:rsid w:val="00010438"/>
    <w:rsid w:val="00010CB0"/>
    <w:rsid w:val="00011CD4"/>
    <w:rsid w:val="00011F9A"/>
    <w:rsid w:val="000141B6"/>
    <w:rsid w:val="00014DB9"/>
    <w:rsid w:val="00014E4C"/>
    <w:rsid w:val="00015AC4"/>
    <w:rsid w:val="000226F1"/>
    <w:rsid w:val="0002343B"/>
    <w:rsid w:val="00023A45"/>
    <w:rsid w:val="00023E56"/>
    <w:rsid w:val="00025840"/>
    <w:rsid w:val="0002619E"/>
    <w:rsid w:val="00026DA5"/>
    <w:rsid w:val="00030791"/>
    <w:rsid w:val="00030BCE"/>
    <w:rsid w:val="0003193F"/>
    <w:rsid w:val="00034C42"/>
    <w:rsid w:val="00035AC9"/>
    <w:rsid w:val="000371DB"/>
    <w:rsid w:val="000378AC"/>
    <w:rsid w:val="000407CB"/>
    <w:rsid w:val="0004397B"/>
    <w:rsid w:val="0004507C"/>
    <w:rsid w:val="00045445"/>
    <w:rsid w:val="00045F82"/>
    <w:rsid w:val="000460C5"/>
    <w:rsid w:val="00046371"/>
    <w:rsid w:val="00047052"/>
    <w:rsid w:val="00050691"/>
    <w:rsid w:val="00051064"/>
    <w:rsid w:val="00052472"/>
    <w:rsid w:val="000537C5"/>
    <w:rsid w:val="00053F04"/>
    <w:rsid w:val="00054A86"/>
    <w:rsid w:val="00060390"/>
    <w:rsid w:val="00060757"/>
    <w:rsid w:val="00061A0C"/>
    <w:rsid w:val="00063BD3"/>
    <w:rsid w:val="0006494A"/>
    <w:rsid w:val="00065AD8"/>
    <w:rsid w:val="000676F2"/>
    <w:rsid w:val="000731C7"/>
    <w:rsid w:val="000733B6"/>
    <w:rsid w:val="000736DE"/>
    <w:rsid w:val="00074B59"/>
    <w:rsid w:val="000764A5"/>
    <w:rsid w:val="00076DE5"/>
    <w:rsid w:val="00076DE9"/>
    <w:rsid w:val="00080723"/>
    <w:rsid w:val="00082630"/>
    <w:rsid w:val="00082D70"/>
    <w:rsid w:val="00082DAF"/>
    <w:rsid w:val="00084419"/>
    <w:rsid w:val="000903BF"/>
    <w:rsid w:val="00091FA1"/>
    <w:rsid w:val="0009460D"/>
    <w:rsid w:val="0009502B"/>
    <w:rsid w:val="00096F81"/>
    <w:rsid w:val="000977B7"/>
    <w:rsid w:val="000A0597"/>
    <w:rsid w:val="000A11BA"/>
    <w:rsid w:val="000A126A"/>
    <w:rsid w:val="000A2E25"/>
    <w:rsid w:val="000A31BA"/>
    <w:rsid w:val="000A5885"/>
    <w:rsid w:val="000A5FCB"/>
    <w:rsid w:val="000A7D20"/>
    <w:rsid w:val="000B0DE1"/>
    <w:rsid w:val="000B1533"/>
    <w:rsid w:val="000B29AB"/>
    <w:rsid w:val="000B2B98"/>
    <w:rsid w:val="000B2DFD"/>
    <w:rsid w:val="000B500D"/>
    <w:rsid w:val="000B51E5"/>
    <w:rsid w:val="000B69FC"/>
    <w:rsid w:val="000B6B2F"/>
    <w:rsid w:val="000B79A6"/>
    <w:rsid w:val="000B7ABF"/>
    <w:rsid w:val="000C0A58"/>
    <w:rsid w:val="000C4CA1"/>
    <w:rsid w:val="000C5DE9"/>
    <w:rsid w:val="000C70FB"/>
    <w:rsid w:val="000C7AA3"/>
    <w:rsid w:val="000D4E36"/>
    <w:rsid w:val="000D515A"/>
    <w:rsid w:val="000D5A4A"/>
    <w:rsid w:val="000D6695"/>
    <w:rsid w:val="000E1900"/>
    <w:rsid w:val="000E24AE"/>
    <w:rsid w:val="000E4C16"/>
    <w:rsid w:val="000E6786"/>
    <w:rsid w:val="000E6BA6"/>
    <w:rsid w:val="000F102D"/>
    <w:rsid w:val="000F1763"/>
    <w:rsid w:val="000F17D2"/>
    <w:rsid w:val="000F1B8C"/>
    <w:rsid w:val="000F393C"/>
    <w:rsid w:val="000F4949"/>
    <w:rsid w:val="000F7A1B"/>
    <w:rsid w:val="001011F0"/>
    <w:rsid w:val="00101F2B"/>
    <w:rsid w:val="00102F20"/>
    <w:rsid w:val="0010463D"/>
    <w:rsid w:val="00104F5D"/>
    <w:rsid w:val="00110129"/>
    <w:rsid w:val="001104E5"/>
    <w:rsid w:val="00110C4E"/>
    <w:rsid w:val="00110E05"/>
    <w:rsid w:val="001112FB"/>
    <w:rsid w:val="001123B7"/>
    <w:rsid w:val="0011439F"/>
    <w:rsid w:val="001165BF"/>
    <w:rsid w:val="001215B9"/>
    <w:rsid w:val="00122FB2"/>
    <w:rsid w:val="00125BFB"/>
    <w:rsid w:val="00127C52"/>
    <w:rsid w:val="00127D87"/>
    <w:rsid w:val="00130E2E"/>
    <w:rsid w:val="001318E6"/>
    <w:rsid w:val="0013207C"/>
    <w:rsid w:val="00137DED"/>
    <w:rsid w:val="001400D8"/>
    <w:rsid w:val="0014012C"/>
    <w:rsid w:val="00141FA1"/>
    <w:rsid w:val="0014285E"/>
    <w:rsid w:val="00143FE3"/>
    <w:rsid w:val="0014407A"/>
    <w:rsid w:val="001446E4"/>
    <w:rsid w:val="0014763A"/>
    <w:rsid w:val="00150665"/>
    <w:rsid w:val="00151FE2"/>
    <w:rsid w:val="001558EB"/>
    <w:rsid w:val="00170310"/>
    <w:rsid w:val="001720DF"/>
    <w:rsid w:val="0017467B"/>
    <w:rsid w:val="00175D52"/>
    <w:rsid w:val="001762F9"/>
    <w:rsid w:val="00176941"/>
    <w:rsid w:val="00177156"/>
    <w:rsid w:val="0017768D"/>
    <w:rsid w:val="00177AD9"/>
    <w:rsid w:val="0018054A"/>
    <w:rsid w:val="00182785"/>
    <w:rsid w:val="00182D24"/>
    <w:rsid w:val="00185F68"/>
    <w:rsid w:val="001876AC"/>
    <w:rsid w:val="001914FB"/>
    <w:rsid w:val="001927F9"/>
    <w:rsid w:val="00192874"/>
    <w:rsid w:val="00193085"/>
    <w:rsid w:val="00195086"/>
    <w:rsid w:val="00195708"/>
    <w:rsid w:val="00197E36"/>
    <w:rsid w:val="00197F02"/>
    <w:rsid w:val="001A0336"/>
    <w:rsid w:val="001A1E44"/>
    <w:rsid w:val="001A4A9B"/>
    <w:rsid w:val="001A616F"/>
    <w:rsid w:val="001A677A"/>
    <w:rsid w:val="001B039B"/>
    <w:rsid w:val="001B0DCA"/>
    <w:rsid w:val="001B11E1"/>
    <w:rsid w:val="001B12C3"/>
    <w:rsid w:val="001B3F52"/>
    <w:rsid w:val="001B4675"/>
    <w:rsid w:val="001B578A"/>
    <w:rsid w:val="001B69D7"/>
    <w:rsid w:val="001B77B7"/>
    <w:rsid w:val="001B7AE3"/>
    <w:rsid w:val="001B7DFA"/>
    <w:rsid w:val="001B7FC9"/>
    <w:rsid w:val="001C26E1"/>
    <w:rsid w:val="001C316A"/>
    <w:rsid w:val="001C32D5"/>
    <w:rsid w:val="001C493C"/>
    <w:rsid w:val="001C4990"/>
    <w:rsid w:val="001C69FB"/>
    <w:rsid w:val="001C7264"/>
    <w:rsid w:val="001D256B"/>
    <w:rsid w:val="001D3CD3"/>
    <w:rsid w:val="001D3F69"/>
    <w:rsid w:val="001E012E"/>
    <w:rsid w:val="001E0D86"/>
    <w:rsid w:val="001E17AC"/>
    <w:rsid w:val="001F09EA"/>
    <w:rsid w:val="001F19B8"/>
    <w:rsid w:val="001F1A5D"/>
    <w:rsid w:val="001F2640"/>
    <w:rsid w:val="001F2AC6"/>
    <w:rsid w:val="001F2C07"/>
    <w:rsid w:val="001F3B62"/>
    <w:rsid w:val="001F3DD9"/>
    <w:rsid w:val="001F43D3"/>
    <w:rsid w:val="001F70C2"/>
    <w:rsid w:val="001F7A6C"/>
    <w:rsid w:val="001F7C90"/>
    <w:rsid w:val="00200F7E"/>
    <w:rsid w:val="002021FF"/>
    <w:rsid w:val="002045F5"/>
    <w:rsid w:val="00205077"/>
    <w:rsid w:val="00207408"/>
    <w:rsid w:val="002103D7"/>
    <w:rsid w:val="00212CED"/>
    <w:rsid w:val="002157DD"/>
    <w:rsid w:val="00216133"/>
    <w:rsid w:val="00217CFA"/>
    <w:rsid w:val="00220423"/>
    <w:rsid w:val="002219F8"/>
    <w:rsid w:val="00222D10"/>
    <w:rsid w:val="00222E74"/>
    <w:rsid w:val="002237F8"/>
    <w:rsid w:val="00223942"/>
    <w:rsid w:val="00223D45"/>
    <w:rsid w:val="002272E8"/>
    <w:rsid w:val="00235240"/>
    <w:rsid w:val="00240999"/>
    <w:rsid w:val="00241038"/>
    <w:rsid w:val="002450FB"/>
    <w:rsid w:val="002459EF"/>
    <w:rsid w:val="00247371"/>
    <w:rsid w:val="00250B33"/>
    <w:rsid w:val="00251461"/>
    <w:rsid w:val="00251D0D"/>
    <w:rsid w:val="00256639"/>
    <w:rsid w:val="002606C0"/>
    <w:rsid w:val="0026186C"/>
    <w:rsid w:val="00263ED3"/>
    <w:rsid w:val="00264FFD"/>
    <w:rsid w:val="00265B1E"/>
    <w:rsid w:val="00265B54"/>
    <w:rsid w:val="00266ED0"/>
    <w:rsid w:val="0026737F"/>
    <w:rsid w:val="0027228C"/>
    <w:rsid w:val="00276878"/>
    <w:rsid w:val="0028025D"/>
    <w:rsid w:val="002805BE"/>
    <w:rsid w:val="00280E72"/>
    <w:rsid w:val="002853E5"/>
    <w:rsid w:val="00286DE2"/>
    <w:rsid w:val="002877AA"/>
    <w:rsid w:val="00290383"/>
    <w:rsid w:val="0029100A"/>
    <w:rsid w:val="0029102E"/>
    <w:rsid w:val="00291A72"/>
    <w:rsid w:val="00292D87"/>
    <w:rsid w:val="00293885"/>
    <w:rsid w:val="00296505"/>
    <w:rsid w:val="00296DE3"/>
    <w:rsid w:val="00296F70"/>
    <w:rsid w:val="002A42E6"/>
    <w:rsid w:val="002A42F4"/>
    <w:rsid w:val="002A47AC"/>
    <w:rsid w:val="002A5E77"/>
    <w:rsid w:val="002A6D9D"/>
    <w:rsid w:val="002A7A8E"/>
    <w:rsid w:val="002B09B6"/>
    <w:rsid w:val="002B152C"/>
    <w:rsid w:val="002B71F4"/>
    <w:rsid w:val="002B76E9"/>
    <w:rsid w:val="002C1E43"/>
    <w:rsid w:val="002C3458"/>
    <w:rsid w:val="002C4F96"/>
    <w:rsid w:val="002C62E9"/>
    <w:rsid w:val="002C78DC"/>
    <w:rsid w:val="002D1087"/>
    <w:rsid w:val="002D1EAE"/>
    <w:rsid w:val="002D41DB"/>
    <w:rsid w:val="002D76F0"/>
    <w:rsid w:val="002E0321"/>
    <w:rsid w:val="002E175B"/>
    <w:rsid w:val="002E2516"/>
    <w:rsid w:val="002E46D6"/>
    <w:rsid w:val="002E74BA"/>
    <w:rsid w:val="002F0486"/>
    <w:rsid w:val="002F0816"/>
    <w:rsid w:val="002F2B65"/>
    <w:rsid w:val="002F55D5"/>
    <w:rsid w:val="002F56BE"/>
    <w:rsid w:val="003028B3"/>
    <w:rsid w:val="00303066"/>
    <w:rsid w:val="0030440D"/>
    <w:rsid w:val="0030445C"/>
    <w:rsid w:val="00305CF1"/>
    <w:rsid w:val="00311224"/>
    <w:rsid w:val="00314765"/>
    <w:rsid w:val="0031609A"/>
    <w:rsid w:val="0031658E"/>
    <w:rsid w:val="00321F4D"/>
    <w:rsid w:val="00322513"/>
    <w:rsid w:val="0032445B"/>
    <w:rsid w:val="003259E0"/>
    <w:rsid w:val="00326054"/>
    <w:rsid w:val="00326D4A"/>
    <w:rsid w:val="0032799B"/>
    <w:rsid w:val="00327BFD"/>
    <w:rsid w:val="00330531"/>
    <w:rsid w:val="003319CF"/>
    <w:rsid w:val="00331A93"/>
    <w:rsid w:val="003326A1"/>
    <w:rsid w:val="00334190"/>
    <w:rsid w:val="0033452F"/>
    <w:rsid w:val="0033639B"/>
    <w:rsid w:val="0034189A"/>
    <w:rsid w:val="00344707"/>
    <w:rsid w:val="00345FB4"/>
    <w:rsid w:val="00346E18"/>
    <w:rsid w:val="00351543"/>
    <w:rsid w:val="003540F2"/>
    <w:rsid w:val="00355148"/>
    <w:rsid w:val="0036011C"/>
    <w:rsid w:val="00360279"/>
    <w:rsid w:val="003611BD"/>
    <w:rsid w:val="003619F0"/>
    <w:rsid w:val="00361FCB"/>
    <w:rsid w:val="00362014"/>
    <w:rsid w:val="00363286"/>
    <w:rsid w:val="003672C1"/>
    <w:rsid w:val="00372119"/>
    <w:rsid w:val="00373576"/>
    <w:rsid w:val="0037398A"/>
    <w:rsid w:val="00380865"/>
    <w:rsid w:val="00380EAA"/>
    <w:rsid w:val="00381486"/>
    <w:rsid w:val="00386461"/>
    <w:rsid w:val="003866F2"/>
    <w:rsid w:val="003874A1"/>
    <w:rsid w:val="00391212"/>
    <w:rsid w:val="00391F55"/>
    <w:rsid w:val="00391F9C"/>
    <w:rsid w:val="00393AF8"/>
    <w:rsid w:val="0039526F"/>
    <w:rsid w:val="003955E6"/>
    <w:rsid w:val="003957B2"/>
    <w:rsid w:val="003966C4"/>
    <w:rsid w:val="0039687C"/>
    <w:rsid w:val="00397D6F"/>
    <w:rsid w:val="003A185B"/>
    <w:rsid w:val="003A18D6"/>
    <w:rsid w:val="003A2B72"/>
    <w:rsid w:val="003A4424"/>
    <w:rsid w:val="003B068C"/>
    <w:rsid w:val="003B24D9"/>
    <w:rsid w:val="003B49DA"/>
    <w:rsid w:val="003B70A8"/>
    <w:rsid w:val="003B71CA"/>
    <w:rsid w:val="003C0159"/>
    <w:rsid w:val="003C33CB"/>
    <w:rsid w:val="003C4A60"/>
    <w:rsid w:val="003C6971"/>
    <w:rsid w:val="003C784F"/>
    <w:rsid w:val="003D0E1E"/>
    <w:rsid w:val="003D5CBB"/>
    <w:rsid w:val="003E0918"/>
    <w:rsid w:val="003E32AC"/>
    <w:rsid w:val="003E3A5B"/>
    <w:rsid w:val="003E4A22"/>
    <w:rsid w:val="003E566F"/>
    <w:rsid w:val="003E5797"/>
    <w:rsid w:val="003E63EB"/>
    <w:rsid w:val="003F089A"/>
    <w:rsid w:val="003F1101"/>
    <w:rsid w:val="003F1107"/>
    <w:rsid w:val="003F311E"/>
    <w:rsid w:val="003F3A67"/>
    <w:rsid w:val="003F45F3"/>
    <w:rsid w:val="003F4CE7"/>
    <w:rsid w:val="003F4EF7"/>
    <w:rsid w:val="00401325"/>
    <w:rsid w:val="0040178E"/>
    <w:rsid w:val="00404130"/>
    <w:rsid w:val="00404965"/>
    <w:rsid w:val="00404D42"/>
    <w:rsid w:val="00405566"/>
    <w:rsid w:val="00406259"/>
    <w:rsid w:val="0041628A"/>
    <w:rsid w:val="00421226"/>
    <w:rsid w:val="004232E4"/>
    <w:rsid w:val="0042531E"/>
    <w:rsid w:val="004257A4"/>
    <w:rsid w:val="004263FB"/>
    <w:rsid w:val="004267F4"/>
    <w:rsid w:val="004273ED"/>
    <w:rsid w:val="00427465"/>
    <w:rsid w:val="004278A3"/>
    <w:rsid w:val="004304C5"/>
    <w:rsid w:val="00430B70"/>
    <w:rsid w:val="00430B8E"/>
    <w:rsid w:val="00433AA1"/>
    <w:rsid w:val="004351C9"/>
    <w:rsid w:val="004351DF"/>
    <w:rsid w:val="00435D75"/>
    <w:rsid w:val="00437661"/>
    <w:rsid w:val="00440118"/>
    <w:rsid w:val="00441175"/>
    <w:rsid w:val="0044190F"/>
    <w:rsid w:val="00441984"/>
    <w:rsid w:val="00444C4C"/>
    <w:rsid w:val="00445BB2"/>
    <w:rsid w:val="00450CDD"/>
    <w:rsid w:val="00452AEF"/>
    <w:rsid w:val="0045359F"/>
    <w:rsid w:val="004546BC"/>
    <w:rsid w:val="00455BF2"/>
    <w:rsid w:val="00455FA2"/>
    <w:rsid w:val="0046050D"/>
    <w:rsid w:val="00464EBC"/>
    <w:rsid w:val="00471158"/>
    <w:rsid w:val="00472B20"/>
    <w:rsid w:val="0047574E"/>
    <w:rsid w:val="004768D0"/>
    <w:rsid w:val="00477621"/>
    <w:rsid w:val="004820E3"/>
    <w:rsid w:val="00484641"/>
    <w:rsid w:val="004853C7"/>
    <w:rsid w:val="004854DD"/>
    <w:rsid w:val="00487CF2"/>
    <w:rsid w:val="00493965"/>
    <w:rsid w:val="00494198"/>
    <w:rsid w:val="0049564F"/>
    <w:rsid w:val="004966AD"/>
    <w:rsid w:val="00497AAA"/>
    <w:rsid w:val="004A2996"/>
    <w:rsid w:val="004A2ADD"/>
    <w:rsid w:val="004A2C62"/>
    <w:rsid w:val="004A6552"/>
    <w:rsid w:val="004A7ABF"/>
    <w:rsid w:val="004B13EC"/>
    <w:rsid w:val="004B2132"/>
    <w:rsid w:val="004B2BEE"/>
    <w:rsid w:val="004B45CC"/>
    <w:rsid w:val="004B4747"/>
    <w:rsid w:val="004B4FED"/>
    <w:rsid w:val="004C2F54"/>
    <w:rsid w:val="004C4B07"/>
    <w:rsid w:val="004C6159"/>
    <w:rsid w:val="004C6C31"/>
    <w:rsid w:val="004D1EDD"/>
    <w:rsid w:val="004D4AD5"/>
    <w:rsid w:val="004D6A3D"/>
    <w:rsid w:val="004D6EAC"/>
    <w:rsid w:val="004E1576"/>
    <w:rsid w:val="004E1B15"/>
    <w:rsid w:val="004E281B"/>
    <w:rsid w:val="004E42EF"/>
    <w:rsid w:val="004E4B5C"/>
    <w:rsid w:val="004E522B"/>
    <w:rsid w:val="004E7FF7"/>
    <w:rsid w:val="004F1DEC"/>
    <w:rsid w:val="004F41E2"/>
    <w:rsid w:val="004F45CC"/>
    <w:rsid w:val="004F4F76"/>
    <w:rsid w:val="004F5AC7"/>
    <w:rsid w:val="004F5DB6"/>
    <w:rsid w:val="004F5DDE"/>
    <w:rsid w:val="004F6337"/>
    <w:rsid w:val="004F68EB"/>
    <w:rsid w:val="004F79F7"/>
    <w:rsid w:val="00500184"/>
    <w:rsid w:val="00502D99"/>
    <w:rsid w:val="00502EBF"/>
    <w:rsid w:val="005030F7"/>
    <w:rsid w:val="005064F7"/>
    <w:rsid w:val="00511E13"/>
    <w:rsid w:val="0051289B"/>
    <w:rsid w:val="00513E2C"/>
    <w:rsid w:val="00514A15"/>
    <w:rsid w:val="0051504F"/>
    <w:rsid w:val="00516571"/>
    <w:rsid w:val="00517B35"/>
    <w:rsid w:val="005210DC"/>
    <w:rsid w:val="00522BB5"/>
    <w:rsid w:val="00524A4E"/>
    <w:rsid w:val="00524B9B"/>
    <w:rsid w:val="00526E0B"/>
    <w:rsid w:val="00531A0F"/>
    <w:rsid w:val="0053257E"/>
    <w:rsid w:val="0053347E"/>
    <w:rsid w:val="00533910"/>
    <w:rsid w:val="00533F8F"/>
    <w:rsid w:val="00534E11"/>
    <w:rsid w:val="00537332"/>
    <w:rsid w:val="00537C72"/>
    <w:rsid w:val="0054020A"/>
    <w:rsid w:val="0054072F"/>
    <w:rsid w:val="00540B8F"/>
    <w:rsid w:val="00541582"/>
    <w:rsid w:val="00542A59"/>
    <w:rsid w:val="0054678A"/>
    <w:rsid w:val="00546E4F"/>
    <w:rsid w:val="0054752E"/>
    <w:rsid w:val="005476D5"/>
    <w:rsid w:val="0054783B"/>
    <w:rsid w:val="00547A0E"/>
    <w:rsid w:val="0055137D"/>
    <w:rsid w:val="005518E7"/>
    <w:rsid w:val="0055334D"/>
    <w:rsid w:val="00561320"/>
    <w:rsid w:val="00562D7E"/>
    <w:rsid w:val="00563CC2"/>
    <w:rsid w:val="0056598D"/>
    <w:rsid w:val="00566A83"/>
    <w:rsid w:val="00567143"/>
    <w:rsid w:val="00571D98"/>
    <w:rsid w:val="00572D93"/>
    <w:rsid w:val="00573D30"/>
    <w:rsid w:val="00574C80"/>
    <w:rsid w:val="0058317B"/>
    <w:rsid w:val="005842B4"/>
    <w:rsid w:val="00591D81"/>
    <w:rsid w:val="005945EF"/>
    <w:rsid w:val="00595E1E"/>
    <w:rsid w:val="005A1B0B"/>
    <w:rsid w:val="005A43E3"/>
    <w:rsid w:val="005A4F3D"/>
    <w:rsid w:val="005A7AA0"/>
    <w:rsid w:val="005A7AE0"/>
    <w:rsid w:val="005B01E0"/>
    <w:rsid w:val="005B1D76"/>
    <w:rsid w:val="005B33A2"/>
    <w:rsid w:val="005C0D5B"/>
    <w:rsid w:val="005C2096"/>
    <w:rsid w:val="005C3107"/>
    <w:rsid w:val="005C33B5"/>
    <w:rsid w:val="005C40D3"/>
    <w:rsid w:val="005C506E"/>
    <w:rsid w:val="005C5699"/>
    <w:rsid w:val="005D1920"/>
    <w:rsid w:val="005D23FE"/>
    <w:rsid w:val="005D7CD9"/>
    <w:rsid w:val="005E2D79"/>
    <w:rsid w:val="005E5DC1"/>
    <w:rsid w:val="005F003D"/>
    <w:rsid w:val="005F074E"/>
    <w:rsid w:val="005F0DA5"/>
    <w:rsid w:val="005F0DEC"/>
    <w:rsid w:val="005F1196"/>
    <w:rsid w:val="005F1585"/>
    <w:rsid w:val="005F4B69"/>
    <w:rsid w:val="005F5A08"/>
    <w:rsid w:val="00601EBF"/>
    <w:rsid w:val="006020A2"/>
    <w:rsid w:val="00607B1F"/>
    <w:rsid w:val="00612C20"/>
    <w:rsid w:val="00613B27"/>
    <w:rsid w:val="00613FE0"/>
    <w:rsid w:val="00614A14"/>
    <w:rsid w:val="00615361"/>
    <w:rsid w:val="00616CCE"/>
    <w:rsid w:val="00620267"/>
    <w:rsid w:val="0062084B"/>
    <w:rsid w:val="00620B95"/>
    <w:rsid w:val="00621493"/>
    <w:rsid w:val="006214D1"/>
    <w:rsid w:val="00622722"/>
    <w:rsid w:val="00622783"/>
    <w:rsid w:val="00623F8C"/>
    <w:rsid w:val="00623FD3"/>
    <w:rsid w:val="00624035"/>
    <w:rsid w:val="00626054"/>
    <w:rsid w:val="006279C4"/>
    <w:rsid w:val="006317E4"/>
    <w:rsid w:val="00632D83"/>
    <w:rsid w:val="00633028"/>
    <w:rsid w:val="00635353"/>
    <w:rsid w:val="00635E10"/>
    <w:rsid w:val="006369D7"/>
    <w:rsid w:val="006376B2"/>
    <w:rsid w:val="00643437"/>
    <w:rsid w:val="006459A4"/>
    <w:rsid w:val="00645B17"/>
    <w:rsid w:val="00651613"/>
    <w:rsid w:val="00652B0B"/>
    <w:rsid w:val="00653ABB"/>
    <w:rsid w:val="00660695"/>
    <w:rsid w:val="00660802"/>
    <w:rsid w:val="00662AC2"/>
    <w:rsid w:val="00663282"/>
    <w:rsid w:val="00663EDB"/>
    <w:rsid w:val="00664E42"/>
    <w:rsid w:val="00665D48"/>
    <w:rsid w:val="0066692A"/>
    <w:rsid w:val="00672420"/>
    <w:rsid w:val="0067283C"/>
    <w:rsid w:val="0067291E"/>
    <w:rsid w:val="00675FE9"/>
    <w:rsid w:val="006765EE"/>
    <w:rsid w:val="00680546"/>
    <w:rsid w:val="0068142C"/>
    <w:rsid w:val="00681662"/>
    <w:rsid w:val="00681BBB"/>
    <w:rsid w:val="006861F8"/>
    <w:rsid w:val="00686352"/>
    <w:rsid w:val="006864EF"/>
    <w:rsid w:val="006867F7"/>
    <w:rsid w:val="00687E3E"/>
    <w:rsid w:val="006901B8"/>
    <w:rsid w:val="00692138"/>
    <w:rsid w:val="0069449D"/>
    <w:rsid w:val="006959FB"/>
    <w:rsid w:val="00695AE6"/>
    <w:rsid w:val="006A048A"/>
    <w:rsid w:val="006A1352"/>
    <w:rsid w:val="006A1EC0"/>
    <w:rsid w:val="006A299A"/>
    <w:rsid w:val="006A500B"/>
    <w:rsid w:val="006A5350"/>
    <w:rsid w:val="006A571F"/>
    <w:rsid w:val="006A66FF"/>
    <w:rsid w:val="006B06F2"/>
    <w:rsid w:val="006B2231"/>
    <w:rsid w:val="006B5F93"/>
    <w:rsid w:val="006C779D"/>
    <w:rsid w:val="006D12BD"/>
    <w:rsid w:val="006D2218"/>
    <w:rsid w:val="006D28E2"/>
    <w:rsid w:val="006D2EBC"/>
    <w:rsid w:val="006D386D"/>
    <w:rsid w:val="006D45F7"/>
    <w:rsid w:val="006D5C0A"/>
    <w:rsid w:val="006D6F34"/>
    <w:rsid w:val="006D79DC"/>
    <w:rsid w:val="006E3744"/>
    <w:rsid w:val="006E41BA"/>
    <w:rsid w:val="006E5641"/>
    <w:rsid w:val="006E6847"/>
    <w:rsid w:val="006E758F"/>
    <w:rsid w:val="006F1275"/>
    <w:rsid w:val="006F1A7A"/>
    <w:rsid w:val="006F24A4"/>
    <w:rsid w:val="006F24C6"/>
    <w:rsid w:val="006F5474"/>
    <w:rsid w:val="006F569F"/>
    <w:rsid w:val="006F6CAD"/>
    <w:rsid w:val="006F6D7D"/>
    <w:rsid w:val="007004D5"/>
    <w:rsid w:val="0070075C"/>
    <w:rsid w:val="007012D4"/>
    <w:rsid w:val="007019DC"/>
    <w:rsid w:val="00702EB3"/>
    <w:rsid w:val="00703820"/>
    <w:rsid w:val="007067D9"/>
    <w:rsid w:val="00707451"/>
    <w:rsid w:val="00707EE9"/>
    <w:rsid w:val="00711993"/>
    <w:rsid w:val="00712251"/>
    <w:rsid w:val="00712705"/>
    <w:rsid w:val="007145CF"/>
    <w:rsid w:val="007152F6"/>
    <w:rsid w:val="00715A38"/>
    <w:rsid w:val="0072038D"/>
    <w:rsid w:val="00720B13"/>
    <w:rsid w:val="00722081"/>
    <w:rsid w:val="00722520"/>
    <w:rsid w:val="007227A2"/>
    <w:rsid w:val="007242FC"/>
    <w:rsid w:val="0072556B"/>
    <w:rsid w:val="00727766"/>
    <w:rsid w:val="00730104"/>
    <w:rsid w:val="00730D30"/>
    <w:rsid w:val="00731A50"/>
    <w:rsid w:val="00732280"/>
    <w:rsid w:val="0073388E"/>
    <w:rsid w:val="00734497"/>
    <w:rsid w:val="00735861"/>
    <w:rsid w:val="00736C20"/>
    <w:rsid w:val="00743D02"/>
    <w:rsid w:val="00744390"/>
    <w:rsid w:val="007518EB"/>
    <w:rsid w:val="00752B5E"/>
    <w:rsid w:val="00754EEA"/>
    <w:rsid w:val="00755E7E"/>
    <w:rsid w:val="00756C65"/>
    <w:rsid w:val="0076323D"/>
    <w:rsid w:val="007645CB"/>
    <w:rsid w:val="0076718F"/>
    <w:rsid w:val="007704B6"/>
    <w:rsid w:val="00771198"/>
    <w:rsid w:val="00771F74"/>
    <w:rsid w:val="00772829"/>
    <w:rsid w:val="007759D9"/>
    <w:rsid w:val="007765BF"/>
    <w:rsid w:val="00776BAD"/>
    <w:rsid w:val="00777AEE"/>
    <w:rsid w:val="00777B6B"/>
    <w:rsid w:val="0078132D"/>
    <w:rsid w:val="007827AB"/>
    <w:rsid w:val="00782B74"/>
    <w:rsid w:val="00787209"/>
    <w:rsid w:val="00790EE7"/>
    <w:rsid w:val="007915B5"/>
    <w:rsid w:val="00791959"/>
    <w:rsid w:val="0079319E"/>
    <w:rsid w:val="00793444"/>
    <w:rsid w:val="00794929"/>
    <w:rsid w:val="00794C52"/>
    <w:rsid w:val="00797C08"/>
    <w:rsid w:val="007A4218"/>
    <w:rsid w:val="007A486D"/>
    <w:rsid w:val="007A52AE"/>
    <w:rsid w:val="007A6235"/>
    <w:rsid w:val="007A7253"/>
    <w:rsid w:val="007B0F2A"/>
    <w:rsid w:val="007B1926"/>
    <w:rsid w:val="007B240A"/>
    <w:rsid w:val="007B7010"/>
    <w:rsid w:val="007B7899"/>
    <w:rsid w:val="007C176D"/>
    <w:rsid w:val="007C5802"/>
    <w:rsid w:val="007D0F8C"/>
    <w:rsid w:val="007D14A7"/>
    <w:rsid w:val="007D19DC"/>
    <w:rsid w:val="007D313C"/>
    <w:rsid w:val="007D3F4C"/>
    <w:rsid w:val="007D4753"/>
    <w:rsid w:val="007D4E47"/>
    <w:rsid w:val="007D5328"/>
    <w:rsid w:val="007D67DE"/>
    <w:rsid w:val="007D7A4E"/>
    <w:rsid w:val="007E0284"/>
    <w:rsid w:val="007E3591"/>
    <w:rsid w:val="007E3A1D"/>
    <w:rsid w:val="007E5E54"/>
    <w:rsid w:val="007E7069"/>
    <w:rsid w:val="007F1823"/>
    <w:rsid w:val="007F2206"/>
    <w:rsid w:val="007F3C77"/>
    <w:rsid w:val="007F4FCD"/>
    <w:rsid w:val="007F5F2F"/>
    <w:rsid w:val="007F7965"/>
    <w:rsid w:val="007F7CBE"/>
    <w:rsid w:val="00802B26"/>
    <w:rsid w:val="00804394"/>
    <w:rsid w:val="008045CF"/>
    <w:rsid w:val="00804B20"/>
    <w:rsid w:val="00804BF5"/>
    <w:rsid w:val="008052DB"/>
    <w:rsid w:val="00805512"/>
    <w:rsid w:val="008072AB"/>
    <w:rsid w:val="00810350"/>
    <w:rsid w:val="00810AAC"/>
    <w:rsid w:val="00812C97"/>
    <w:rsid w:val="008208BB"/>
    <w:rsid w:val="00821D54"/>
    <w:rsid w:val="00822F0B"/>
    <w:rsid w:val="008236F9"/>
    <w:rsid w:val="00824B66"/>
    <w:rsid w:val="00825AE8"/>
    <w:rsid w:val="008260BA"/>
    <w:rsid w:val="00826DC2"/>
    <w:rsid w:val="00827675"/>
    <w:rsid w:val="0082793B"/>
    <w:rsid w:val="00827CFC"/>
    <w:rsid w:val="008311E6"/>
    <w:rsid w:val="00832195"/>
    <w:rsid w:val="00832C84"/>
    <w:rsid w:val="00836467"/>
    <w:rsid w:val="008368D8"/>
    <w:rsid w:val="00842A26"/>
    <w:rsid w:val="00846034"/>
    <w:rsid w:val="00846C41"/>
    <w:rsid w:val="00850077"/>
    <w:rsid w:val="00851C99"/>
    <w:rsid w:val="00857959"/>
    <w:rsid w:val="0086052B"/>
    <w:rsid w:val="0086099C"/>
    <w:rsid w:val="00860F50"/>
    <w:rsid w:val="00861030"/>
    <w:rsid w:val="008610B8"/>
    <w:rsid w:val="00861830"/>
    <w:rsid w:val="008623B7"/>
    <w:rsid w:val="00862A68"/>
    <w:rsid w:val="00863599"/>
    <w:rsid w:val="00863637"/>
    <w:rsid w:val="0086429B"/>
    <w:rsid w:val="008664C7"/>
    <w:rsid w:val="00866D21"/>
    <w:rsid w:val="00867C50"/>
    <w:rsid w:val="00870615"/>
    <w:rsid w:val="008706C7"/>
    <w:rsid w:val="00871B48"/>
    <w:rsid w:val="00872139"/>
    <w:rsid w:val="00874A37"/>
    <w:rsid w:val="00876F87"/>
    <w:rsid w:val="00882D6B"/>
    <w:rsid w:val="008837D4"/>
    <w:rsid w:val="0088533B"/>
    <w:rsid w:val="00886CAE"/>
    <w:rsid w:val="00886CC5"/>
    <w:rsid w:val="00886F01"/>
    <w:rsid w:val="00887CF4"/>
    <w:rsid w:val="008910E1"/>
    <w:rsid w:val="0089149E"/>
    <w:rsid w:val="0089187C"/>
    <w:rsid w:val="00891FDB"/>
    <w:rsid w:val="008955F9"/>
    <w:rsid w:val="008958D3"/>
    <w:rsid w:val="00896593"/>
    <w:rsid w:val="008A1CD3"/>
    <w:rsid w:val="008A260E"/>
    <w:rsid w:val="008A2B42"/>
    <w:rsid w:val="008A2FFD"/>
    <w:rsid w:val="008A6CEC"/>
    <w:rsid w:val="008B0C8F"/>
    <w:rsid w:val="008B152C"/>
    <w:rsid w:val="008B3E38"/>
    <w:rsid w:val="008B3F16"/>
    <w:rsid w:val="008B5B32"/>
    <w:rsid w:val="008B6753"/>
    <w:rsid w:val="008B698F"/>
    <w:rsid w:val="008C106F"/>
    <w:rsid w:val="008C1881"/>
    <w:rsid w:val="008C1D18"/>
    <w:rsid w:val="008C28C8"/>
    <w:rsid w:val="008C2E29"/>
    <w:rsid w:val="008C36B0"/>
    <w:rsid w:val="008C3956"/>
    <w:rsid w:val="008C7E0E"/>
    <w:rsid w:val="008D0748"/>
    <w:rsid w:val="008D08DC"/>
    <w:rsid w:val="008D12A6"/>
    <w:rsid w:val="008D1A73"/>
    <w:rsid w:val="008D1D6C"/>
    <w:rsid w:val="008D2924"/>
    <w:rsid w:val="008D5458"/>
    <w:rsid w:val="008D5986"/>
    <w:rsid w:val="008D64D7"/>
    <w:rsid w:val="008D77B6"/>
    <w:rsid w:val="008E0453"/>
    <w:rsid w:val="008E1A54"/>
    <w:rsid w:val="008E281D"/>
    <w:rsid w:val="008E2841"/>
    <w:rsid w:val="008E463A"/>
    <w:rsid w:val="008E4EBB"/>
    <w:rsid w:val="008E5282"/>
    <w:rsid w:val="008E54F2"/>
    <w:rsid w:val="008E7899"/>
    <w:rsid w:val="008F12B4"/>
    <w:rsid w:val="008F25F9"/>
    <w:rsid w:val="008F7A14"/>
    <w:rsid w:val="00900E9D"/>
    <w:rsid w:val="00901579"/>
    <w:rsid w:val="00902EE0"/>
    <w:rsid w:val="00903945"/>
    <w:rsid w:val="0090581B"/>
    <w:rsid w:val="009065A4"/>
    <w:rsid w:val="009078A3"/>
    <w:rsid w:val="009078FD"/>
    <w:rsid w:val="00907BDC"/>
    <w:rsid w:val="00912E84"/>
    <w:rsid w:val="00913B41"/>
    <w:rsid w:val="00913E1B"/>
    <w:rsid w:val="00914EC8"/>
    <w:rsid w:val="0091586A"/>
    <w:rsid w:val="00922467"/>
    <w:rsid w:val="00926077"/>
    <w:rsid w:val="00930D0D"/>
    <w:rsid w:val="00931243"/>
    <w:rsid w:val="00931A82"/>
    <w:rsid w:val="00932183"/>
    <w:rsid w:val="009327B4"/>
    <w:rsid w:val="00942C29"/>
    <w:rsid w:val="009448EC"/>
    <w:rsid w:val="009450CE"/>
    <w:rsid w:val="0094565A"/>
    <w:rsid w:val="00945752"/>
    <w:rsid w:val="009460D0"/>
    <w:rsid w:val="0094665C"/>
    <w:rsid w:val="00946C96"/>
    <w:rsid w:val="00946ED3"/>
    <w:rsid w:val="00952168"/>
    <w:rsid w:val="009522DE"/>
    <w:rsid w:val="0095282B"/>
    <w:rsid w:val="009529E3"/>
    <w:rsid w:val="00952D17"/>
    <w:rsid w:val="00953F09"/>
    <w:rsid w:val="00955AC9"/>
    <w:rsid w:val="00955DDB"/>
    <w:rsid w:val="009602FE"/>
    <w:rsid w:val="009617DA"/>
    <w:rsid w:val="00961EDD"/>
    <w:rsid w:val="0096748A"/>
    <w:rsid w:val="00967753"/>
    <w:rsid w:val="00971957"/>
    <w:rsid w:val="009719F6"/>
    <w:rsid w:val="00972CC0"/>
    <w:rsid w:val="00975034"/>
    <w:rsid w:val="009830D0"/>
    <w:rsid w:val="00985041"/>
    <w:rsid w:val="00990278"/>
    <w:rsid w:val="0099317D"/>
    <w:rsid w:val="0099407C"/>
    <w:rsid w:val="00994792"/>
    <w:rsid w:val="0099526E"/>
    <w:rsid w:val="009974A9"/>
    <w:rsid w:val="009A0BD5"/>
    <w:rsid w:val="009A1202"/>
    <w:rsid w:val="009A3431"/>
    <w:rsid w:val="009A371F"/>
    <w:rsid w:val="009A47DB"/>
    <w:rsid w:val="009A58D1"/>
    <w:rsid w:val="009A6642"/>
    <w:rsid w:val="009A6AC6"/>
    <w:rsid w:val="009A6BAA"/>
    <w:rsid w:val="009B2B1B"/>
    <w:rsid w:val="009B53D4"/>
    <w:rsid w:val="009C006B"/>
    <w:rsid w:val="009C2950"/>
    <w:rsid w:val="009C33FF"/>
    <w:rsid w:val="009C476F"/>
    <w:rsid w:val="009C533F"/>
    <w:rsid w:val="009C5FA0"/>
    <w:rsid w:val="009C6915"/>
    <w:rsid w:val="009C6ABA"/>
    <w:rsid w:val="009D065D"/>
    <w:rsid w:val="009D1B2A"/>
    <w:rsid w:val="009D20D1"/>
    <w:rsid w:val="009D23BF"/>
    <w:rsid w:val="009D7F3B"/>
    <w:rsid w:val="009E0683"/>
    <w:rsid w:val="009E3FBE"/>
    <w:rsid w:val="009F1EFD"/>
    <w:rsid w:val="009F2BC1"/>
    <w:rsid w:val="009F49DF"/>
    <w:rsid w:val="009F50AA"/>
    <w:rsid w:val="009F6980"/>
    <w:rsid w:val="00A000F9"/>
    <w:rsid w:val="00A06CC0"/>
    <w:rsid w:val="00A1000E"/>
    <w:rsid w:val="00A1033D"/>
    <w:rsid w:val="00A10D75"/>
    <w:rsid w:val="00A11B7A"/>
    <w:rsid w:val="00A12B54"/>
    <w:rsid w:val="00A148CC"/>
    <w:rsid w:val="00A15D4D"/>
    <w:rsid w:val="00A21E54"/>
    <w:rsid w:val="00A24D03"/>
    <w:rsid w:val="00A32DF5"/>
    <w:rsid w:val="00A338AD"/>
    <w:rsid w:val="00A341E6"/>
    <w:rsid w:val="00A364AC"/>
    <w:rsid w:val="00A36EFC"/>
    <w:rsid w:val="00A37017"/>
    <w:rsid w:val="00A41982"/>
    <w:rsid w:val="00A44EA4"/>
    <w:rsid w:val="00A46185"/>
    <w:rsid w:val="00A47D38"/>
    <w:rsid w:val="00A50A73"/>
    <w:rsid w:val="00A5106B"/>
    <w:rsid w:val="00A53001"/>
    <w:rsid w:val="00A533A5"/>
    <w:rsid w:val="00A54E07"/>
    <w:rsid w:val="00A5507E"/>
    <w:rsid w:val="00A55911"/>
    <w:rsid w:val="00A6006F"/>
    <w:rsid w:val="00A6284F"/>
    <w:rsid w:val="00A62E36"/>
    <w:rsid w:val="00A63CFC"/>
    <w:rsid w:val="00A6706B"/>
    <w:rsid w:val="00A675B9"/>
    <w:rsid w:val="00A678A9"/>
    <w:rsid w:val="00A7000C"/>
    <w:rsid w:val="00A7268E"/>
    <w:rsid w:val="00A72D1C"/>
    <w:rsid w:val="00A72E96"/>
    <w:rsid w:val="00A72EA0"/>
    <w:rsid w:val="00A73FFF"/>
    <w:rsid w:val="00A7455B"/>
    <w:rsid w:val="00A74AB3"/>
    <w:rsid w:val="00A75383"/>
    <w:rsid w:val="00A755C2"/>
    <w:rsid w:val="00A776FB"/>
    <w:rsid w:val="00A80307"/>
    <w:rsid w:val="00A80C0F"/>
    <w:rsid w:val="00A81D2D"/>
    <w:rsid w:val="00A82BBA"/>
    <w:rsid w:val="00A83086"/>
    <w:rsid w:val="00A835BC"/>
    <w:rsid w:val="00A854A5"/>
    <w:rsid w:val="00A8717A"/>
    <w:rsid w:val="00A87A89"/>
    <w:rsid w:val="00A93A61"/>
    <w:rsid w:val="00A94EFE"/>
    <w:rsid w:val="00A9733F"/>
    <w:rsid w:val="00A97BA4"/>
    <w:rsid w:val="00A97E4C"/>
    <w:rsid w:val="00AA11FB"/>
    <w:rsid w:val="00AA593E"/>
    <w:rsid w:val="00AA70CF"/>
    <w:rsid w:val="00AA7D88"/>
    <w:rsid w:val="00AB35FD"/>
    <w:rsid w:val="00AB425B"/>
    <w:rsid w:val="00AB42EF"/>
    <w:rsid w:val="00AB6AA8"/>
    <w:rsid w:val="00AB6C79"/>
    <w:rsid w:val="00AC190B"/>
    <w:rsid w:val="00AC1F23"/>
    <w:rsid w:val="00AC4CB3"/>
    <w:rsid w:val="00AC5BA5"/>
    <w:rsid w:val="00AC6C8D"/>
    <w:rsid w:val="00AC7BA8"/>
    <w:rsid w:val="00AD0FC8"/>
    <w:rsid w:val="00AD3FA2"/>
    <w:rsid w:val="00AD4801"/>
    <w:rsid w:val="00AD57E7"/>
    <w:rsid w:val="00AD75C9"/>
    <w:rsid w:val="00AD771D"/>
    <w:rsid w:val="00AE0CF3"/>
    <w:rsid w:val="00AE1622"/>
    <w:rsid w:val="00AE1BBC"/>
    <w:rsid w:val="00AE2724"/>
    <w:rsid w:val="00AE2E25"/>
    <w:rsid w:val="00AE3927"/>
    <w:rsid w:val="00AE3D5B"/>
    <w:rsid w:val="00AE52C4"/>
    <w:rsid w:val="00AE5B96"/>
    <w:rsid w:val="00AE617A"/>
    <w:rsid w:val="00AF1F2D"/>
    <w:rsid w:val="00AF2174"/>
    <w:rsid w:val="00AF3F54"/>
    <w:rsid w:val="00AF4CA8"/>
    <w:rsid w:val="00AF4F6E"/>
    <w:rsid w:val="00AF606A"/>
    <w:rsid w:val="00AF7C79"/>
    <w:rsid w:val="00B03BDB"/>
    <w:rsid w:val="00B04328"/>
    <w:rsid w:val="00B066D3"/>
    <w:rsid w:val="00B06990"/>
    <w:rsid w:val="00B07298"/>
    <w:rsid w:val="00B109A5"/>
    <w:rsid w:val="00B111BE"/>
    <w:rsid w:val="00B11620"/>
    <w:rsid w:val="00B13F28"/>
    <w:rsid w:val="00B1561C"/>
    <w:rsid w:val="00B172DB"/>
    <w:rsid w:val="00B20F88"/>
    <w:rsid w:val="00B23A6F"/>
    <w:rsid w:val="00B25398"/>
    <w:rsid w:val="00B25EE9"/>
    <w:rsid w:val="00B27AD7"/>
    <w:rsid w:val="00B30201"/>
    <w:rsid w:val="00B30344"/>
    <w:rsid w:val="00B312F6"/>
    <w:rsid w:val="00B328F9"/>
    <w:rsid w:val="00B34866"/>
    <w:rsid w:val="00B36361"/>
    <w:rsid w:val="00B3680C"/>
    <w:rsid w:val="00B37B3E"/>
    <w:rsid w:val="00B408C5"/>
    <w:rsid w:val="00B411C5"/>
    <w:rsid w:val="00B4248C"/>
    <w:rsid w:val="00B518B8"/>
    <w:rsid w:val="00B527EC"/>
    <w:rsid w:val="00B52AD2"/>
    <w:rsid w:val="00B535CD"/>
    <w:rsid w:val="00B577DE"/>
    <w:rsid w:val="00B657AC"/>
    <w:rsid w:val="00B7138C"/>
    <w:rsid w:val="00B71C20"/>
    <w:rsid w:val="00B71F7C"/>
    <w:rsid w:val="00B7254D"/>
    <w:rsid w:val="00B72939"/>
    <w:rsid w:val="00B72EF5"/>
    <w:rsid w:val="00B74343"/>
    <w:rsid w:val="00B752AD"/>
    <w:rsid w:val="00B754E3"/>
    <w:rsid w:val="00B77815"/>
    <w:rsid w:val="00B80485"/>
    <w:rsid w:val="00B81B74"/>
    <w:rsid w:val="00B81B7B"/>
    <w:rsid w:val="00B83CBE"/>
    <w:rsid w:val="00B84632"/>
    <w:rsid w:val="00B87D31"/>
    <w:rsid w:val="00B90AFD"/>
    <w:rsid w:val="00B91F07"/>
    <w:rsid w:val="00B94AA0"/>
    <w:rsid w:val="00B95CEF"/>
    <w:rsid w:val="00BA1F6E"/>
    <w:rsid w:val="00BA3105"/>
    <w:rsid w:val="00BA4BB7"/>
    <w:rsid w:val="00BA52FD"/>
    <w:rsid w:val="00BA5D35"/>
    <w:rsid w:val="00BA68FD"/>
    <w:rsid w:val="00BA7BFF"/>
    <w:rsid w:val="00BB0501"/>
    <w:rsid w:val="00BB0F2A"/>
    <w:rsid w:val="00BB230E"/>
    <w:rsid w:val="00BB2436"/>
    <w:rsid w:val="00BB5833"/>
    <w:rsid w:val="00BB5B28"/>
    <w:rsid w:val="00BB6505"/>
    <w:rsid w:val="00BB7710"/>
    <w:rsid w:val="00BB7ED8"/>
    <w:rsid w:val="00BC05F4"/>
    <w:rsid w:val="00BC42AD"/>
    <w:rsid w:val="00BC6D93"/>
    <w:rsid w:val="00BC7D45"/>
    <w:rsid w:val="00BD0D5B"/>
    <w:rsid w:val="00BD3C6C"/>
    <w:rsid w:val="00BD3E76"/>
    <w:rsid w:val="00BD5876"/>
    <w:rsid w:val="00BE04C0"/>
    <w:rsid w:val="00BE0C5B"/>
    <w:rsid w:val="00BE2353"/>
    <w:rsid w:val="00BE2D19"/>
    <w:rsid w:val="00BE34B3"/>
    <w:rsid w:val="00BE4718"/>
    <w:rsid w:val="00BE5F3E"/>
    <w:rsid w:val="00BE6093"/>
    <w:rsid w:val="00BF5DEE"/>
    <w:rsid w:val="00BF668B"/>
    <w:rsid w:val="00C02448"/>
    <w:rsid w:val="00C02A3A"/>
    <w:rsid w:val="00C04BDB"/>
    <w:rsid w:val="00C11DD2"/>
    <w:rsid w:val="00C1332A"/>
    <w:rsid w:val="00C14C25"/>
    <w:rsid w:val="00C15636"/>
    <w:rsid w:val="00C16E26"/>
    <w:rsid w:val="00C2040A"/>
    <w:rsid w:val="00C20492"/>
    <w:rsid w:val="00C2107B"/>
    <w:rsid w:val="00C2239E"/>
    <w:rsid w:val="00C23F1A"/>
    <w:rsid w:val="00C24002"/>
    <w:rsid w:val="00C2604F"/>
    <w:rsid w:val="00C304F1"/>
    <w:rsid w:val="00C31582"/>
    <w:rsid w:val="00C34FD1"/>
    <w:rsid w:val="00C366CA"/>
    <w:rsid w:val="00C36C83"/>
    <w:rsid w:val="00C36E79"/>
    <w:rsid w:val="00C3734B"/>
    <w:rsid w:val="00C40719"/>
    <w:rsid w:val="00C4160B"/>
    <w:rsid w:val="00C41734"/>
    <w:rsid w:val="00C42DCB"/>
    <w:rsid w:val="00C44F7C"/>
    <w:rsid w:val="00C457D2"/>
    <w:rsid w:val="00C45939"/>
    <w:rsid w:val="00C45B03"/>
    <w:rsid w:val="00C46ED3"/>
    <w:rsid w:val="00C47651"/>
    <w:rsid w:val="00C47E32"/>
    <w:rsid w:val="00C5049C"/>
    <w:rsid w:val="00C504A3"/>
    <w:rsid w:val="00C52BAF"/>
    <w:rsid w:val="00C53650"/>
    <w:rsid w:val="00C54A2B"/>
    <w:rsid w:val="00C56E7E"/>
    <w:rsid w:val="00C573F9"/>
    <w:rsid w:val="00C64074"/>
    <w:rsid w:val="00C672FA"/>
    <w:rsid w:val="00C71255"/>
    <w:rsid w:val="00C751E9"/>
    <w:rsid w:val="00C76F8C"/>
    <w:rsid w:val="00C818C4"/>
    <w:rsid w:val="00C8206C"/>
    <w:rsid w:val="00C858EF"/>
    <w:rsid w:val="00C85CA1"/>
    <w:rsid w:val="00C85F69"/>
    <w:rsid w:val="00C868EA"/>
    <w:rsid w:val="00C907DD"/>
    <w:rsid w:val="00C90A52"/>
    <w:rsid w:val="00C934FF"/>
    <w:rsid w:val="00C93917"/>
    <w:rsid w:val="00C93B1C"/>
    <w:rsid w:val="00C94A72"/>
    <w:rsid w:val="00C94FFB"/>
    <w:rsid w:val="00C951CA"/>
    <w:rsid w:val="00C95330"/>
    <w:rsid w:val="00C958EB"/>
    <w:rsid w:val="00C9638A"/>
    <w:rsid w:val="00C968D8"/>
    <w:rsid w:val="00C975E0"/>
    <w:rsid w:val="00C976B3"/>
    <w:rsid w:val="00C97FB1"/>
    <w:rsid w:val="00CA0B82"/>
    <w:rsid w:val="00CA2B05"/>
    <w:rsid w:val="00CA3874"/>
    <w:rsid w:val="00CA435E"/>
    <w:rsid w:val="00CA4FF8"/>
    <w:rsid w:val="00CA635F"/>
    <w:rsid w:val="00CA7113"/>
    <w:rsid w:val="00CB0608"/>
    <w:rsid w:val="00CB06AF"/>
    <w:rsid w:val="00CB1105"/>
    <w:rsid w:val="00CB1DD5"/>
    <w:rsid w:val="00CB3AC2"/>
    <w:rsid w:val="00CB4281"/>
    <w:rsid w:val="00CB4F5C"/>
    <w:rsid w:val="00CB53E9"/>
    <w:rsid w:val="00CB7504"/>
    <w:rsid w:val="00CB7FCC"/>
    <w:rsid w:val="00CC0268"/>
    <w:rsid w:val="00CC10A5"/>
    <w:rsid w:val="00CC46C1"/>
    <w:rsid w:val="00CC4898"/>
    <w:rsid w:val="00CC7668"/>
    <w:rsid w:val="00CC7724"/>
    <w:rsid w:val="00CD42CA"/>
    <w:rsid w:val="00CD4F24"/>
    <w:rsid w:val="00CE1324"/>
    <w:rsid w:val="00CE3762"/>
    <w:rsid w:val="00CE43AE"/>
    <w:rsid w:val="00CE4F8F"/>
    <w:rsid w:val="00CE7079"/>
    <w:rsid w:val="00CF00F1"/>
    <w:rsid w:val="00CF1C7E"/>
    <w:rsid w:val="00CF3175"/>
    <w:rsid w:val="00CF32CF"/>
    <w:rsid w:val="00CF4634"/>
    <w:rsid w:val="00CF482A"/>
    <w:rsid w:val="00CF643B"/>
    <w:rsid w:val="00D02314"/>
    <w:rsid w:val="00D02C6A"/>
    <w:rsid w:val="00D02FD9"/>
    <w:rsid w:val="00D03927"/>
    <w:rsid w:val="00D03D0E"/>
    <w:rsid w:val="00D0559B"/>
    <w:rsid w:val="00D06E63"/>
    <w:rsid w:val="00D07480"/>
    <w:rsid w:val="00D07D21"/>
    <w:rsid w:val="00D10BAE"/>
    <w:rsid w:val="00D1215B"/>
    <w:rsid w:val="00D13C00"/>
    <w:rsid w:val="00D153CE"/>
    <w:rsid w:val="00D22CFC"/>
    <w:rsid w:val="00D235B9"/>
    <w:rsid w:val="00D247AD"/>
    <w:rsid w:val="00D27483"/>
    <w:rsid w:val="00D3063E"/>
    <w:rsid w:val="00D30F77"/>
    <w:rsid w:val="00D3117F"/>
    <w:rsid w:val="00D31223"/>
    <w:rsid w:val="00D32829"/>
    <w:rsid w:val="00D337BC"/>
    <w:rsid w:val="00D34ECC"/>
    <w:rsid w:val="00D35250"/>
    <w:rsid w:val="00D36E4E"/>
    <w:rsid w:val="00D41562"/>
    <w:rsid w:val="00D419FF"/>
    <w:rsid w:val="00D4299B"/>
    <w:rsid w:val="00D47797"/>
    <w:rsid w:val="00D5080C"/>
    <w:rsid w:val="00D52828"/>
    <w:rsid w:val="00D557B5"/>
    <w:rsid w:val="00D576F7"/>
    <w:rsid w:val="00D577EF"/>
    <w:rsid w:val="00D62022"/>
    <w:rsid w:val="00D62BE0"/>
    <w:rsid w:val="00D63380"/>
    <w:rsid w:val="00D63B3C"/>
    <w:rsid w:val="00D64571"/>
    <w:rsid w:val="00D653A9"/>
    <w:rsid w:val="00D6673F"/>
    <w:rsid w:val="00D67B8C"/>
    <w:rsid w:val="00D71CB2"/>
    <w:rsid w:val="00D71D86"/>
    <w:rsid w:val="00D72ADC"/>
    <w:rsid w:val="00D72F4C"/>
    <w:rsid w:val="00D73A25"/>
    <w:rsid w:val="00D76907"/>
    <w:rsid w:val="00D76B05"/>
    <w:rsid w:val="00D7754D"/>
    <w:rsid w:val="00D777D1"/>
    <w:rsid w:val="00D82044"/>
    <w:rsid w:val="00D83677"/>
    <w:rsid w:val="00D85292"/>
    <w:rsid w:val="00D862D5"/>
    <w:rsid w:val="00D86788"/>
    <w:rsid w:val="00D95E01"/>
    <w:rsid w:val="00D96FF7"/>
    <w:rsid w:val="00D97A5D"/>
    <w:rsid w:val="00DA1A51"/>
    <w:rsid w:val="00DA2C69"/>
    <w:rsid w:val="00DA3201"/>
    <w:rsid w:val="00DB08B1"/>
    <w:rsid w:val="00DB16A5"/>
    <w:rsid w:val="00DB211F"/>
    <w:rsid w:val="00DB3C82"/>
    <w:rsid w:val="00DB4EA3"/>
    <w:rsid w:val="00DB5DC2"/>
    <w:rsid w:val="00DC04AF"/>
    <w:rsid w:val="00DC10A2"/>
    <w:rsid w:val="00DC132D"/>
    <w:rsid w:val="00DC275C"/>
    <w:rsid w:val="00DC6B23"/>
    <w:rsid w:val="00DC7ED8"/>
    <w:rsid w:val="00DD094B"/>
    <w:rsid w:val="00DD190A"/>
    <w:rsid w:val="00DD3F16"/>
    <w:rsid w:val="00DD4CF8"/>
    <w:rsid w:val="00DD4DE6"/>
    <w:rsid w:val="00DD4E91"/>
    <w:rsid w:val="00DE2B46"/>
    <w:rsid w:val="00DE2BEC"/>
    <w:rsid w:val="00DE3B6A"/>
    <w:rsid w:val="00DE5386"/>
    <w:rsid w:val="00DE751A"/>
    <w:rsid w:val="00DE7715"/>
    <w:rsid w:val="00DE78CE"/>
    <w:rsid w:val="00DF304B"/>
    <w:rsid w:val="00DF3ED4"/>
    <w:rsid w:val="00DF6033"/>
    <w:rsid w:val="00DF6A23"/>
    <w:rsid w:val="00DF6A8D"/>
    <w:rsid w:val="00DF7423"/>
    <w:rsid w:val="00DF788E"/>
    <w:rsid w:val="00DF7A45"/>
    <w:rsid w:val="00E025E8"/>
    <w:rsid w:val="00E041D9"/>
    <w:rsid w:val="00E05D5B"/>
    <w:rsid w:val="00E067F1"/>
    <w:rsid w:val="00E06B29"/>
    <w:rsid w:val="00E078B1"/>
    <w:rsid w:val="00E07EE7"/>
    <w:rsid w:val="00E10495"/>
    <w:rsid w:val="00E11391"/>
    <w:rsid w:val="00E11AF5"/>
    <w:rsid w:val="00E121C9"/>
    <w:rsid w:val="00E1644A"/>
    <w:rsid w:val="00E16B22"/>
    <w:rsid w:val="00E2155F"/>
    <w:rsid w:val="00E222D6"/>
    <w:rsid w:val="00E237B5"/>
    <w:rsid w:val="00E24E73"/>
    <w:rsid w:val="00E26285"/>
    <w:rsid w:val="00E262DD"/>
    <w:rsid w:val="00E267BC"/>
    <w:rsid w:val="00E3488B"/>
    <w:rsid w:val="00E352BF"/>
    <w:rsid w:val="00E36300"/>
    <w:rsid w:val="00E36A4C"/>
    <w:rsid w:val="00E36A82"/>
    <w:rsid w:val="00E36C0C"/>
    <w:rsid w:val="00E405BD"/>
    <w:rsid w:val="00E413FC"/>
    <w:rsid w:val="00E41947"/>
    <w:rsid w:val="00E42778"/>
    <w:rsid w:val="00E44969"/>
    <w:rsid w:val="00E44E4B"/>
    <w:rsid w:val="00E44FE2"/>
    <w:rsid w:val="00E455B7"/>
    <w:rsid w:val="00E457C9"/>
    <w:rsid w:val="00E46436"/>
    <w:rsid w:val="00E50641"/>
    <w:rsid w:val="00E526CC"/>
    <w:rsid w:val="00E52D76"/>
    <w:rsid w:val="00E549B8"/>
    <w:rsid w:val="00E55A0A"/>
    <w:rsid w:val="00E56354"/>
    <w:rsid w:val="00E5762C"/>
    <w:rsid w:val="00E57D64"/>
    <w:rsid w:val="00E61344"/>
    <w:rsid w:val="00E62B4C"/>
    <w:rsid w:val="00E634DE"/>
    <w:rsid w:val="00E649EC"/>
    <w:rsid w:val="00E65790"/>
    <w:rsid w:val="00E66AA6"/>
    <w:rsid w:val="00E706E2"/>
    <w:rsid w:val="00E71D50"/>
    <w:rsid w:val="00E76FB7"/>
    <w:rsid w:val="00E77477"/>
    <w:rsid w:val="00E804D4"/>
    <w:rsid w:val="00E833FA"/>
    <w:rsid w:val="00E834A2"/>
    <w:rsid w:val="00E90D25"/>
    <w:rsid w:val="00E93595"/>
    <w:rsid w:val="00E961B5"/>
    <w:rsid w:val="00E97C24"/>
    <w:rsid w:val="00EA465E"/>
    <w:rsid w:val="00EA469C"/>
    <w:rsid w:val="00EA4C8B"/>
    <w:rsid w:val="00EA55C4"/>
    <w:rsid w:val="00EA68DD"/>
    <w:rsid w:val="00EA7EA9"/>
    <w:rsid w:val="00EB0085"/>
    <w:rsid w:val="00EB3B9C"/>
    <w:rsid w:val="00EB466B"/>
    <w:rsid w:val="00EB577D"/>
    <w:rsid w:val="00EB72DB"/>
    <w:rsid w:val="00EC45DD"/>
    <w:rsid w:val="00EC4B18"/>
    <w:rsid w:val="00EC6F18"/>
    <w:rsid w:val="00ED05B3"/>
    <w:rsid w:val="00ED1070"/>
    <w:rsid w:val="00ED1328"/>
    <w:rsid w:val="00ED2090"/>
    <w:rsid w:val="00ED445A"/>
    <w:rsid w:val="00ED4708"/>
    <w:rsid w:val="00ED6175"/>
    <w:rsid w:val="00ED6FC1"/>
    <w:rsid w:val="00EE07A9"/>
    <w:rsid w:val="00EE0D65"/>
    <w:rsid w:val="00EE1491"/>
    <w:rsid w:val="00EE1B08"/>
    <w:rsid w:val="00EE266C"/>
    <w:rsid w:val="00EE4CA5"/>
    <w:rsid w:val="00EE57B1"/>
    <w:rsid w:val="00EE7BE2"/>
    <w:rsid w:val="00EF39A2"/>
    <w:rsid w:val="00EF4567"/>
    <w:rsid w:val="00EF4660"/>
    <w:rsid w:val="00EF5D24"/>
    <w:rsid w:val="00EF6E76"/>
    <w:rsid w:val="00EF7913"/>
    <w:rsid w:val="00F00751"/>
    <w:rsid w:val="00F01017"/>
    <w:rsid w:val="00F01CBD"/>
    <w:rsid w:val="00F03DCF"/>
    <w:rsid w:val="00F055D7"/>
    <w:rsid w:val="00F06544"/>
    <w:rsid w:val="00F07A60"/>
    <w:rsid w:val="00F10E54"/>
    <w:rsid w:val="00F110A2"/>
    <w:rsid w:val="00F11A4A"/>
    <w:rsid w:val="00F139DA"/>
    <w:rsid w:val="00F15422"/>
    <w:rsid w:val="00F15C18"/>
    <w:rsid w:val="00F15F31"/>
    <w:rsid w:val="00F165BD"/>
    <w:rsid w:val="00F1680F"/>
    <w:rsid w:val="00F1711A"/>
    <w:rsid w:val="00F203F9"/>
    <w:rsid w:val="00F21650"/>
    <w:rsid w:val="00F243E2"/>
    <w:rsid w:val="00F25679"/>
    <w:rsid w:val="00F262D1"/>
    <w:rsid w:val="00F27485"/>
    <w:rsid w:val="00F274A8"/>
    <w:rsid w:val="00F278D6"/>
    <w:rsid w:val="00F2797F"/>
    <w:rsid w:val="00F31B2D"/>
    <w:rsid w:val="00F35943"/>
    <w:rsid w:val="00F35DCC"/>
    <w:rsid w:val="00F37A56"/>
    <w:rsid w:val="00F41C5C"/>
    <w:rsid w:val="00F43638"/>
    <w:rsid w:val="00F449EB"/>
    <w:rsid w:val="00F461FE"/>
    <w:rsid w:val="00F47330"/>
    <w:rsid w:val="00F50F79"/>
    <w:rsid w:val="00F5231D"/>
    <w:rsid w:val="00F52EBE"/>
    <w:rsid w:val="00F53EF9"/>
    <w:rsid w:val="00F55F15"/>
    <w:rsid w:val="00F573BC"/>
    <w:rsid w:val="00F6036D"/>
    <w:rsid w:val="00F617D7"/>
    <w:rsid w:val="00F62243"/>
    <w:rsid w:val="00F643FA"/>
    <w:rsid w:val="00F6575E"/>
    <w:rsid w:val="00F6614C"/>
    <w:rsid w:val="00F667BA"/>
    <w:rsid w:val="00F66E6F"/>
    <w:rsid w:val="00F67068"/>
    <w:rsid w:val="00F7486A"/>
    <w:rsid w:val="00F74F8D"/>
    <w:rsid w:val="00F754D2"/>
    <w:rsid w:val="00F75B06"/>
    <w:rsid w:val="00F761E3"/>
    <w:rsid w:val="00F7677D"/>
    <w:rsid w:val="00F77D2D"/>
    <w:rsid w:val="00F8082F"/>
    <w:rsid w:val="00F80954"/>
    <w:rsid w:val="00F867DB"/>
    <w:rsid w:val="00F87C26"/>
    <w:rsid w:val="00F95253"/>
    <w:rsid w:val="00FA0553"/>
    <w:rsid w:val="00FA172F"/>
    <w:rsid w:val="00FA4DBF"/>
    <w:rsid w:val="00FA6C1B"/>
    <w:rsid w:val="00FA6F53"/>
    <w:rsid w:val="00FA7127"/>
    <w:rsid w:val="00FA7420"/>
    <w:rsid w:val="00FA7FC9"/>
    <w:rsid w:val="00FB0BB5"/>
    <w:rsid w:val="00FB6EB7"/>
    <w:rsid w:val="00FB7032"/>
    <w:rsid w:val="00FC2AC2"/>
    <w:rsid w:val="00FC3CBD"/>
    <w:rsid w:val="00FC6A18"/>
    <w:rsid w:val="00FC7F5F"/>
    <w:rsid w:val="00FD0CCD"/>
    <w:rsid w:val="00FD3FA2"/>
    <w:rsid w:val="00FD5717"/>
    <w:rsid w:val="00FD6225"/>
    <w:rsid w:val="00FE1C4A"/>
    <w:rsid w:val="00FE624D"/>
    <w:rsid w:val="00FF1AB0"/>
    <w:rsid w:val="00FF27E2"/>
    <w:rsid w:val="00FF27FF"/>
    <w:rsid w:val="00FF6016"/>
    <w:rsid w:val="00FF6025"/>
    <w:rsid w:val="00FF6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A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AC2"/>
    <w:rPr>
      <w:rFonts w:eastAsiaTheme="minorEastAsia"/>
      <w:lang w:val="en-GB" w:eastAsia="en-GB"/>
    </w:rPr>
  </w:style>
  <w:style w:type="paragraph" w:styleId="berschrift1">
    <w:name w:val="heading 1"/>
    <w:basedOn w:val="Standard"/>
    <w:next w:val="Standard"/>
    <w:link w:val="berschrift1Zchn"/>
    <w:uiPriority w:val="1"/>
    <w:qFormat/>
    <w:rsid w:val="00662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AC2"/>
    <w:rPr>
      <w:rFonts w:asciiTheme="majorHAnsi" w:eastAsiaTheme="majorEastAsia" w:hAnsiTheme="majorHAnsi" w:cstheme="majorBidi"/>
      <w:b/>
      <w:bCs/>
      <w:color w:val="365F91" w:themeColor="accent1" w:themeShade="BF"/>
      <w:sz w:val="28"/>
      <w:szCs w:val="28"/>
      <w:lang w:val="en-GB" w:eastAsia="en-GB"/>
    </w:rPr>
  </w:style>
  <w:style w:type="paragraph" w:styleId="Funotentext">
    <w:name w:val="footnote text"/>
    <w:basedOn w:val="Standard"/>
    <w:link w:val="FunotentextZchn"/>
    <w:uiPriority w:val="99"/>
    <w:unhideWhenUsed/>
    <w:rsid w:val="00662AC2"/>
    <w:pPr>
      <w:spacing w:after="0" w:line="240" w:lineRule="auto"/>
    </w:pPr>
    <w:rPr>
      <w:rFonts w:eastAsiaTheme="minorHAnsi"/>
      <w:sz w:val="20"/>
      <w:szCs w:val="20"/>
      <w:lang w:val="de-CH" w:eastAsia="en-US"/>
    </w:rPr>
  </w:style>
  <w:style w:type="character" w:customStyle="1" w:styleId="FunotentextZchn">
    <w:name w:val="Fußnotentext Zchn"/>
    <w:basedOn w:val="Absatz-Standardschriftart"/>
    <w:link w:val="Funotentext"/>
    <w:uiPriority w:val="99"/>
    <w:rsid w:val="00662AC2"/>
    <w:rPr>
      <w:sz w:val="20"/>
      <w:szCs w:val="20"/>
    </w:rPr>
  </w:style>
  <w:style w:type="character" w:styleId="Funotenzeichen">
    <w:name w:val="footnote reference"/>
    <w:basedOn w:val="Absatz-Standardschriftart"/>
    <w:uiPriority w:val="99"/>
    <w:unhideWhenUsed/>
    <w:rsid w:val="00662AC2"/>
    <w:rPr>
      <w:vertAlign w:val="superscript"/>
    </w:rPr>
  </w:style>
  <w:style w:type="paragraph" w:styleId="Listenabsatz">
    <w:name w:val="List Paragraph"/>
    <w:basedOn w:val="Standard"/>
    <w:uiPriority w:val="34"/>
    <w:qFormat/>
    <w:rsid w:val="00662AC2"/>
    <w:pPr>
      <w:ind w:left="720"/>
      <w:contextualSpacing/>
    </w:pPr>
    <w:rPr>
      <w:rFonts w:eastAsiaTheme="minorHAnsi"/>
      <w:lang w:val="de-CH" w:eastAsia="en-US"/>
    </w:rPr>
  </w:style>
  <w:style w:type="character" w:styleId="Kommentarzeichen">
    <w:name w:val="annotation reference"/>
    <w:basedOn w:val="Absatz-Standardschriftart"/>
    <w:uiPriority w:val="99"/>
    <w:semiHidden/>
    <w:unhideWhenUsed/>
    <w:rsid w:val="00662AC2"/>
    <w:rPr>
      <w:sz w:val="16"/>
      <w:szCs w:val="16"/>
    </w:rPr>
  </w:style>
  <w:style w:type="paragraph" w:styleId="Kommentartext">
    <w:name w:val="annotation text"/>
    <w:basedOn w:val="Standard"/>
    <w:link w:val="KommentartextZchn"/>
    <w:uiPriority w:val="99"/>
    <w:semiHidden/>
    <w:unhideWhenUsed/>
    <w:rsid w:val="00662AC2"/>
    <w:pPr>
      <w:spacing w:line="240" w:lineRule="auto"/>
    </w:pPr>
    <w:rPr>
      <w:rFonts w:eastAsiaTheme="minorHAnsi"/>
      <w:sz w:val="20"/>
      <w:szCs w:val="20"/>
      <w:lang w:val="de-CH" w:eastAsia="en-US"/>
    </w:rPr>
  </w:style>
  <w:style w:type="character" w:customStyle="1" w:styleId="KommentartextZchn">
    <w:name w:val="Kommentartext Zchn"/>
    <w:basedOn w:val="Absatz-Standardschriftart"/>
    <w:link w:val="Kommentartext"/>
    <w:uiPriority w:val="99"/>
    <w:semiHidden/>
    <w:rsid w:val="00662AC2"/>
    <w:rPr>
      <w:sz w:val="20"/>
      <w:szCs w:val="20"/>
    </w:rPr>
  </w:style>
  <w:style w:type="paragraph" w:styleId="Kommentarthema">
    <w:name w:val="annotation subject"/>
    <w:basedOn w:val="Kommentartext"/>
    <w:next w:val="Kommentartext"/>
    <w:link w:val="KommentarthemaZchn"/>
    <w:uiPriority w:val="99"/>
    <w:semiHidden/>
    <w:unhideWhenUsed/>
    <w:rsid w:val="00662AC2"/>
    <w:rPr>
      <w:b/>
      <w:bCs/>
    </w:rPr>
  </w:style>
  <w:style w:type="character" w:customStyle="1" w:styleId="KommentarthemaZchn">
    <w:name w:val="Kommentarthema Zchn"/>
    <w:basedOn w:val="KommentartextZchn"/>
    <w:link w:val="Kommentarthema"/>
    <w:uiPriority w:val="99"/>
    <w:semiHidden/>
    <w:rsid w:val="00662AC2"/>
    <w:rPr>
      <w:b/>
      <w:bCs/>
      <w:sz w:val="20"/>
      <w:szCs w:val="20"/>
    </w:rPr>
  </w:style>
  <w:style w:type="paragraph" w:styleId="Sprechblasentext">
    <w:name w:val="Balloon Text"/>
    <w:basedOn w:val="Standard"/>
    <w:link w:val="SprechblasentextZchn"/>
    <w:uiPriority w:val="99"/>
    <w:semiHidden/>
    <w:unhideWhenUsed/>
    <w:rsid w:val="00662AC2"/>
    <w:pPr>
      <w:spacing w:after="0" w:line="240" w:lineRule="auto"/>
    </w:pPr>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662AC2"/>
    <w:rPr>
      <w:rFonts w:ascii="Tahoma" w:hAnsi="Tahoma" w:cs="Tahoma"/>
      <w:sz w:val="16"/>
      <w:szCs w:val="16"/>
    </w:rPr>
  </w:style>
  <w:style w:type="paragraph" w:styleId="Beschriftung">
    <w:name w:val="caption"/>
    <w:basedOn w:val="Standard"/>
    <w:next w:val="Standard"/>
    <w:uiPriority w:val="35"/>
    <w:unhideWhenUsed/>
    <w:qFormat/>
    <w:rsid w:val="00662AC2"/>
    <w:pPr>
      <w:spacing w:after="0" w:line="240" w:lineRule="auto"/>
    </w:pPr>
    <w:rPr>
      <w:rFonts w:ascii="Times New Roman" w:eastAsia="Times New Roman" w:hAnsi="Times New Roman" w:cs="Times New Roman"/>
      <w:b/>
      <w:bCs/>
      <w:sz w:val="20"/>
      <w:szCs w:val="20"/>
      <w:lang w:val="de-CH" w:eastAsia="de-CH"/>
    </w:rPr>
  </w:style>
  <w:style w:type="paragraph" w:styleId="Kopfzeile">
    <w:name w:val="header"/>
    <w:basedOn w:val="Standard"/>
    <w:link w:val="KopfzeileZchn"/>
    <w:uiPriority w:val="99"/>
    <w:unhideWhenUsed/>
    <w:rsid w:val="00662AC2"/>
    <w:pPr>
      <w:tabs>
        <w:tab w:val="center" w:pos="4536"/>
        <w:tab w:val="right" w:pos="9072"/>
      </w:tabs>
      <w:spacing w:after="0" w:line="240" w:lineRule="auto"/>
    </w:pPr>
    <w:rPr>
      <w:rFonts w:eastAsiaTheme="minorHAnsi"/>
      <w:lang w:val="de-CH" w:eastAsia="en-US"/>
    </w:rPr>
  </w:style>
  <w:style w:type="character" w:customStyle="1" w:styleId="KopfzeileZchn">
    <w:name w:val="Kopfzeile Zchn"/>
    <w:basedOn w:val="Absatz-Standardschriftart"/>
    <w:link w:val="Kopfzeile"/>
    <w:uiPriority w:val="99"/>
    <w:rsid w:val="00662AC2"/>
  </w:style>
  <w:style w:type="paragraph" w:styleId="Fuzeile">
    <w:name w:val="footer"/>
    <w:basedOn w:val="Standard"/>
    <w:link w:val="FuzeileZchn"/>
    <w:uiPriority w:val="99"/>
    <w:unhideWhenUsed/>
    <w:rsid w:val="00662AC2"/>
    <w:pPr>
      <w:tabs>
        <w:tab w:val="center" w:pos="4536"/>
        <w:tab w:val="right" w:pos="9072"/>
      </w:tabs>
      <w:spacing w:after="0" w:line="240" w:lineRule="auto"/>
    </w:pPr>
    <w:rPr>
      <w:rFonts w:eastAsiaTheme="minorHAnsi"/>
      <w:lang w:val="de-CH" w:eastAsia="en-US"/>
    </w:rPr>
  </w:style>
  <w:style w:type="character" w:customStyle="1" w:styleId="FuzeileZchn">
    <w:name w:val="Fußzeile Zchn"/>
    <w:basedOn w:val="Absatz-Standardschriftart"/>
    <w:link w:val="Fuzeile"/>
    <w:uiPriority w:val="99"/>
    <w:rsid w:val="00662AC2"/>
  </w:style>
  <w:style w:type="character" w:styleId="Hervorhebung">
    <w:name w:val="Emphasis"/>
    <w:qFormat/>
    <w:rsid w:val="00662AC2"/>
    <w:rPr>
      <w:rFonts w:ascii="Times New Roman" w:hAnsi="Times New Roman" w:cs="Times New Roman" w:hint="default"/>
      <w:i/>
      <w:iCs/>
    </w:rPr>
  </w:style>
  <w:style w:type="character" w:styleId="Fett">
    <w:name w:val="Strong"/>
    <w:uiPriority w:val="22"/>
    <w:qFormat/>
    <w:rsid w:val="00662AC2"/>
    <w:rPr>
      <w:b/>
      <w:bCs/>
    </w:rPr>
  </w:style>
  <w:style w:type="table" w:styleId="Tabellenraster">
    <w:name w:val="Table Grid"/>
    <w:basedOn w:val="NormaleTabelle"/>
    <w:uiPriority w:val="59"/>
    <w:rsid w:val="0066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662AC2"/>
    <w:pPr>
      <w:spacing w:before="100" w:beforeAutospacing="1" w:after="100" w:afterAutospacing="1" w:line="240" w:lineRule="auto"/>
    </w:pPr>
    <w:rPr>
      <w:rFonts w:ascii="Verdana" w:eastAsia="Times New Roman" w:hAnsi="Verdana" w:cs="Times New Roman"/>
      <w:sz w:val="24"/>
      <w:szCs w:val="24"/>
      <w:lang w:val="de-CH" w:eastAsia="de-DE"/>
    </w:rPr>
  </w:style>
  <w:style w:type="character" w:styleId="Hyperlink">
    <w:name w:val="Hyperlink"/>
    <w:basedOn w:val="Absatz-Standardschriftart"/>
    <w:uiPriority w:val="99"/>
    <w:unhideWhenUsed/>
    <w:rsid w:val="00662AC2"/>
    <w:rPr>
      <w:color w:val="0000FF" w:themeColor="hyperlink"/>
      <w:u w:val="single"/>
    </w:rPr>
  </w:style>
  <w:style w:type="paragraph" w:styleId="berarbeitung">
    <w:name w:val="Revision"/>
    <w:hidden/>
    <w:uiPriority w:val="99"/>
    <w:semiHidden/>
    <w:rsid w:val="00662AC2"/>
    <w:pPr>
      <w:spacing w:after="0" w:line="240" w:lineRule="auto"/>
    </w:pPr>
  </w:style>
  <w:style w:type="character" w:customStyle="1" w:styleId="apple-converted-space">
    <w:name w:val="apple-converted-space"/>
    <w:basedOn w:val="Absatz-Standardschriftart"/>
    <w:rsid w:val="00662AC2"/>
  </w:style>
  <w:style w:type="paragraph" w:styleId="Textkrper">
    <w:name w:val="Body Text"/>
    <w:basedOn w:val="Standard"/>
    <w:link w:val="TextkrperZchn"/>
    <w:uiPriority w:val="1"/>
    <w:qFormat/>
    <w:rsid w:val="008B3E38"/>
    <w:pPr>
      <w:widowControl w:val="0"/>
      <w:spacing w:after="0" w:line="240" w:lineRule="auto"/>
      <w:ind w:left="117"/>
    </w:pPr>
    <w:rPr>
      <w:rFonts w:ascii="Times New Roman" w:eastAsia="Times New Roman" w:hAnsi="Times New Roman"/>
      <w:sz w:val="23"/>
      <w:szCs w:val="23"/>
      <w:lang w:val="en-US" w:eastAsia="en-US"/>
    </w:rPr>
  </w:style>
  <w:style w:type="character" w:customStyle="1" w:styleId="TextkrperZchn">
    <w:name w:val="Textkörper Zchn"/>
    <w:basedOn w:val="Absatz-Standardschriftart"/>
    <w:link w:val="Textkrper"/>
    <w:uiPriority w:val="1"/>
    <w:rsid w:val="008B3E38"/>
    <w:rPr>
      <w:rFonts w:ascii="Times New Roman" w:eastAsia="Times New Roman" w:hAnsi="Times New Roman"/>
      <w:sz w:val="23"/>
      <w:szCs w:val="23"/>
      <w:lang w:val="en-US"/>
    </w:rPr>
  </w:style>
  <w:style w:type="table" w:customStyle="1" w:styleId="TableNormal1">
    <w:name w:val="Table Normal1"/>
    <w:uiPriority w:val="2"/>
    <w:semiHidden/>
    <w:unhideWhenUsed/>
    <w:qFormat/>
    <w:rsid w:val="00A63C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63CFC"/>
    <w:pPr>
      <w:widowControl w:val="0"/>
      <w:spacing w:after="0" w:line="240" w:lineRule="auto"/>
    </w:pPr>
    <w:rPr>
      <w:rFonts w:eastAsiaTheme="minorHAnsi"/>
      <w:lang w:val="en-US" w:eastAsia="en-US"/>
    </w:rPr>
  </w:style>
  <w:style w:type="character" w:styleId="Seitenzahl">
    <w:name w:val="page number"/>
    <w:basedOn w:val="Absatz-Standardschriftart"/>
    <w:uiPriority w:val="99"/>
    <w:semiHidden/>
    <w:unhideWhenUsed/>
    <w:rsid w:val="00177AD9"/>
  </w:style>
  <w:style w:type="character" w:styleId="BesuchterHyperlink">
    <w:name w:val="FollowedHyperlink"/>
    <w:basedOn w:val="Absatz-Standardschriftart"/>
    <w:uiPriority w:val="99"/>
    <w:semiHidden/>
    <w:unhideWhenUsed/>
    <w:rsid w:val="005F11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AC2"/>
    <w:rPr>
      <w:rFonts w:eastAsiaTheme="minorEastAsia"/>
      <w:lang w:val="en-GB" w:eastAsia="en-GB"/>
    </w:rPr>
  </w:style>
  <w:style w:type="paragraph" w:styleId="berschrift1">
    <w:name w:val="heading 1"/>
    <w:basedOn w:val="Standard"/>
    <w:next w:val="Standard"/>
    <w:link w:val="berschrift1Zchn"/>
    <w:uiPriority w:val="1"/>
    <w:qFormat/>
    <w:rsid w:val="00662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AC2"/>
    <w:rPr>
      <w:rFonts w:asciiTheme="majorHAnsi" w:eastAsiaTheme="majorEastAsia" w:hAnsiTheme="majorHAnsi" w:cstheme="majorBidi"/>
      <w:b/>
      <w:bCs/>
      <w:color w:val="365F91" w:themeColor="accent1" w:themeShade="BF"/>
      <w:sz w:val="28"/>
      <w:szCs w:val="28"/>
      <w:lang w:val="en-GB" w:eastAsia="en-GB"/>
    </w:rPr>
  </w:style>
  <w:style w:type="paragraph" w:styleId="Funotentext">
    <w:name w:val="footnote text"/>
    <w:basedOn w:val="Standard"/>
    <w:link w:val="FunotentextZchn"/>
    <w:uiPriority w:val="99"/>
    <w:unhideWhenUsed/>
    <w:rsid w:val="00662AC2"/>
    <w:pPr>
      <w:spacing w:after="0" w:line="240" w:lineRule="auto"/>
    </w:pPr>
    <w:rPr>
      <w:rFonts w:eastAsiaTheme="minorHAnsi"/>
      <w:sz w:val="20"/>
      <w:szCs w:val="20"/>
      <w:lang w:val="de-CH" w:eastAsia="en-US"/>
    </w:rPr>
  </w:style>
  <w:style w:type="character" w:customStyle="1" w:styleId="FunotentextZchn">
    <w:name w:val="Fußnotentext Zchn"/>
    <w:basedOn w:val="Absatz-Standardschriftart"/>
    <w:link w:val="Funotentext"/>
    <w:uiPriority w:val="99"/>
    <w:rsid w:val="00662AC2"/>
    <w:rPr>
      <w:sz w:val="20"/>
      <w:szCs w:val="20"/>
    </w:rPr>
  </w:style>
  <w:style w:type="character" w:styleId="Funotenzeichen">
    <w:name w:val="footnote reference"/>
    <w:basedOn w:val="Absatz-Standardschriftart"/>
    <w:uiPriority w:val="99"/>
    <w:unhideWhenUsed/>
    <w:rsid w:val="00662AC2"/>
    <w:rPr>
      <w:vertAlign w:val="superscript"/>
    </w:rPr>
  </w:style>
  <w:style w:type="paragraph" w:styleId="Listenabsatz">
    <w:name w:val="List Paragraph"/>
    <w:basedOn w:val="Standard"/>
    <w:uiPriority w:val="34"/>
    <w:qFormat/>
    <w:rsid w:val="00662AC2"/>
    <w:pPr>
      <w:ind w:left="720"/>
      <w:contextualSpacing/>
    </w:pPr>
    <w:rPr>
      <w:rFonts w:eastAsiaTheme="minorHAnsi"/>
      <w:lang w:val="de-CH" w:eastAsia="en-US"/>
    </w:rPr>
  </w:style>
  <w:style w:type="character" w:styleId="Kommentarzeichen">
    <w:name w:val="annotation reference"/>
    <w:basedOn w:val="Absatz-Standardschriftart"/>
    <w:uiPriority w:val="99"/>
    <w:semiHidden/>
    <w:unhideWhenUsed/>
    <w:rsid w:val="00662AC2"/>
    <w:rPr>
      <w:sz w:val="16"/>
      <w:szCs w:val="16"/>
    </w:rPr>
  </w:style>
  <w:style w:type="paragraph" w:styleId="Kommentartext">
    <w:name w:val="annotation text"/>
    <w:basedOn w:val="Standard"/>
    <w:link w:val="KommentartextZchn"/>
    <w:uiPriority w:val="99"/>
    <w:semiHidden/>
    <w:unhideWhenUsed/>
    <w:rsid w:val="00662AC2"/>
    <w:pPr>
      <w:spacing w:line="240" w:lineRule="auto"/>
    </w:pPr>
    <w:rPr>
      <w:rFonts w:eastAsiaTheme="minorHAnsi"/>
      <w:sz w:val="20"/>
      <w:szCs w:val="20"/>
      <w:lang w:val="de-CH" w:eastAsia="en-US"/>
    </w:rPr>
  </w:style>
  <w:style w:type="character" w:customStyle="1" w:styleId="KommentartextZchn">
    <w:name w:val="Kommentartext Zchn"/>
    <w:basedOn w:val="Absatz-Standardschriftart"/>
    <w:link w:val="Kommentartext"/>
    <w:uiPriority w:val="99"/>
    <w:semiHidden/>
    <w:rsid w:val="00662AC2"/>
    <w:rPr>
      <w:sz w:val="20"/>
      <w:szCs w:val="20"/>
    </w:rPr>
  </w:style>
  <w:style w:type="paragraph" w:styleId="Kommentarthema">
    <w:name w:val="annotation subject"/>
    <w:basedOn w:val="Kommentartext"/>
    <w:next w:val="Kommentartext"/>
    <w:link w:val="KommentarthemaZchn"/>
    <w:uiPriority w:val="99"/>
    <w:semiHidden/>
    <w:unhideWhenUsed/>
    <w:rsid w:val="00662AC2"/>
    <w:rPr>
      <w:b/>
      <w:bCs/>
    </w:rPr>
  </w:style>
  <w:style w:type="character" w:customStyle="1" w:styleId="KommentarthemaZchn">
    <w:name w:val="Kommentarthema Zchn"/>
    <w:basedOn w:val="KommentartextZchn"/>
    <w:link w:val="Kommentarthema"/>
    <w:uiPriority w:val="99"/>
    <w:semiHidden/>
    <w:rsid w:val="00662AC2"/>
    <w:rPr>
      <w:b/>
      <w:bCs/>
      <w:sz w:val="20"/>
      <w:szCs w:val="20"/>
    </w:rPr>
  </w:style>
  <w:style w:type="paragraph" w:styleId="Sprechblasentext">
    <w:name w:val="Balloon Text"/>
    <w:basedOn w:val="Standard"/>
    <w:link w:val="SprechblasentextZchn"/>
    <w:uiPriority w:val="99"/>
    <w:semiHidden/>
    <w:unhideWhenUsed/>
    <w:rsid w:val="00662AC2"/>
    <w:pPr>
      <w:spacing w:after="0" w:line="240" w:lineRule="auto"/>
    </w:pPr>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662AC2"/>
    <w:rPr>
      <w:rFonts w:ascii="Tahoma" w:hAnsi="Tahoma" w:cs="Tahoma"/>
      <w:sz w:val="16"/>
      <w:szCs w:val="16"/>
    </w:rPr>
  </w:style>
  <w:style w:type="paragraph" w:styleId="Beschriftung">
    <w:name w:val="caption"/>
    <w:basedOn w:val="Standard"/>
    <w:next w:val="Standard"/>
    <w:uiPriority w:val="35"/>
    <w:unhideWhenUsed/>
    <w:qFormat/>
    <w:rsid w:val="00662AC2"/>
    <w:pPr>
      <w:spacing w:after="0" w:line="240" w:lineRule="auto"/>
    </w:pPr>
    <w:rPr>
      <w:rFonts w:ascii="Times New Roman" w:eastAsia="Times New Roman" w:hAnsi="Times New Roman" w:cs="Times New Roman"/>
      <w:b/>
      <w:bCs/>
      <w:sz w:val="20"/>
      <w:szCs w:val="20"/>
      <w:lang w:val="de-CH" w:eastAsia="de-CH"/>
    </w:rPr>
  </w:style>
  <w:style w:type="paragraph" w:styleId="Kopfzeile">
    <w:name w:val="header"/>
    <w:basedOn w:val="Standard"/>
    <w:link w:val="KopfzeileZchn"/>
    <w:uiPriority w:val="99"/>
    <w:unhideWhenUsed/>
    <w:rsid w:val="00662AC2"/>
    <w:pPr>
      <w:tabs>
        <w:tab w:val="center" w:pos="4536"/>
        <w:tab w:val="right" w:pos="9072"/>
      </w:tabs>
      <w:spacing w:after="0" w:line="240" w:lineRule="auto"/>
    </w:pPr>
    <w:rPr>
      <w:rFonts w:eastAsiaTheme="minorHAnsi"/>
      <w:lang w:val="de-CH" w:eastAsia="en-US"/>
    </w:rPr>
  </w:style>
  <w:style w:type="character" w:customStyle="1" w:styleId="KopfzeileZchn">
    <w:name w:val="Kopfzeile Zchn"/>
    <w:basedOn w:val="Absatz-Standardschriftart"/>
    <w:link w:val="Kopfzeile"/>
    <w:uiPriority w:val="99"/>
    <w:rsid w:val="00662AC2"/>
  </w:style>
  <w:style w:type="paragraph" w:styleId="Fuzeile">
    <w:name w:val="footer"/>
    <w:basedOn w:val="Standard"/>
    <w:link w:val="FuzeileZchn"/>
    <w:uiPriority w:val="99"/>
    <w:unhideWhenUsed/>
    <w:rsid w:val="00662AC2"/>
    <w:pPr>
      <w:tabs>
        <w:tab w:val="center" w:pos="4536"/>
        <w:tab w:val="right" w:pos="9072"/>
      </w:tabs>
      <w:spacing w:after="0" w:line="240" w:lineRule="auto"/>
    </w:pPr>
    <w:rPr>
      <w:rFonts w:eastAsiaTheme="minorHAnsi"/>
      <w:lang w:val="de-CH" w:eastAsia="en-US"/>
    </w:rPr>
  </w:style>
  <w:style w:type="character" w:customStyle="1" w:styleId="FuzeileZchn">
    <w:name w:val="Fußzeile Zchn"/>
    <w:basedOn w:val="Absatz-Standardschriftart"/>
    <w:link w:val="Fuzeile"/>
    <w:uiPriority w:val="99"/>
    <w:rsid w:val="00662AC2"/>
  </w:style>
  <w:style w:type="character" w:styleId="Hervorhebung">
    <w:name w:val="Emphasis"/>
    <w:qFormat/>
    <w:rsid w:val="00662AC2"/>
    <w:rPr>
      <w:rFonts w:ascii="Times New Roman" w:hAnsi="Times New Roman" w:cs="Times New Roman" w:hint="default"/>
      <w:i/>
      <w:iCs/>
    </w:rPr>
  </w:style>
  <w:style w:type="character" w:styleId="Fett">
    <w:name w:val="Strong"/>
    <w:uiPriority w:val="22"/>
    <w:qFormat/>
    <w:rsid w:val="00662AC2"/>
    <w:rPr>
      <w:b/>
      <w:bCs/>
    </w:rPr>
  </w:style>
  <w:style w:type="table" w:styleId="Tabellenraster">
    <w:name w:val="Table Grid"/>
    <w:basedOn w:val="NormaleTabelle"/>
    <w:uiPriority w:val="59"/>
    <w:rsid w:val="0066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662AC2"/>
    <w:pPr>
      <w:spacing w:before="100" w:beforeAutospacing="1" w:after="100" w:afterAutospacing="1" w:line="240" w:lineRule="auto"/>
    </w:pPr>
    <w:rPr>
      <w:rFonts w:ascii="Verdana" w:eastAsia="Times New Roman" w:hAnsi="Verdana" w:cs="Times New Roman"/>
      <w:sz w:val="24"/>
      <w:szCs w:val="24"/>
      <w:lang w:val="de-CH" w:eastAsia="de-DE"/>
    </w:rPr>
  </w:style>
  <w:style w:type="character" w:styleId="Hyperlink">
    <w:name w:val="Hyperlink"/>
    <w:basedOn w:val="Absatz-Standardschriftart"/>
    <w:uiPriority w:val="99"/>
    <w:unhideWhenUsed/>
    <w:rsid w:val="00662AC2"/>
    <w:rPr>
      <w:color w:val="0000FF" w:themeColor="hyperlink"/>
      <w:u w:val="single"/>
    </w:rPr>
  </w:style>
  <w:style w:type="paragraph" w:styleId="berarbeitung">
    <w:name w:val="Revision"/>
    <w:hidden/>
    <w:uiPriority w:val="99"/>
    <w:semiHidden/>
    <w:rsid w:val="00662AC2"/>
    <w:pPr>
      <w:spacing w:after="0" w:line="240" w:lineRule="auto"/>
    </w:pPr>
  </w:style>
  <w:style w:type="character" w:customStyle="1" w:styleId="apple-converted-space">
    <w:name w:val="apple-converted-space"/>
    <w:basedOn w:val="Absatz-Standardschriftart"/>
    <w:rsid w:val="00662AC2"/>
  </w:style>
  <w:style w:type="paragraph" w:styleId="Textkrper">
    <w:name w:val="Body Text"/>
    <w:basedOn w:val="Standard"/>
    <w:link w:val="TextkrperZchn"/>
    <w:uiPriority w:val="1"/>
    <w:qFormat/>
    <w:rsid w:val="008B3E38"/>
    <w:pPr>
      <w:widowControl w:val="0"/>
      <w:spacing w:after="0" w:line="240" w:lineRule="auto"/>
      <w:ind w:left="117"/>
    </w:pPr>
    <w:rPr>
      <w:rFonts w:ascii="Times New Roman" w:eastAsia="Times New Roman" w:hAnsi="Times New Roman"/>
      <w:sz w:val="23"/>
      <w:szCs w:val="23"/>
      <w:lang w:val="en-US" w:eastAsia="en-US"/>
    </w:rPr>
  </w:style>
  <w:style w:type="character" w:customStyle="1" w:styleId="TextkrperZchn">
    <w:name w:val="Textkörper Zchn"/>
    <w:basedOn w:val="Absatz-Standardschriftart"/>
    <w:link w:val="Textkrper"/>
    <w:uiPriority w:val="1"/>
    <w:rsid w:val="008B3E38"/>
    <w:rPr>
      <w:rFonts w:ascii="Times New Roman" w:eastAsia="Times New Roman" w:hAnsi="Times New Roman"/>
      <w:sz w:val="23"/>
      <w:szCs w:val="23"/>
      <w:lang w:val="en-US"/>
    </w:rPr>
  </w:style>
  <w:style w:type="table" w:customStyle="1" w:styleId="TableNormal1">
    <w:name w:val="Table Normal1"/>
    <w:uiPriority w:val="2"/>
    <w:semiHidden/>
    <w:unhideWhenUsed/>
    <w:qFormat/>
    <w:rsid w:val="00A63C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63CFC"/>
    <w:pPr>
      <w:widowControl w:val="0"/>
      <w:spacing w:after="0" w:line="240" w:lineRule="auto"/>
    </w:pPr>
    <w:rPr>
      <w:rFonts w:eastAsiaTheme="minorHAnsi"/>
      <w:lang w:val="en-US" w:eastAsia="en-US"/>
    </w:rPr>
  </w:style>
  <w:style w:type="character" w:styleId="Seitenzahl">
    <w:name w:val="page number"/>
    <w:basedOn w:val="Absatz-Standardschriftart"/>
    <w:uiPriority w:val="99"/>
    <w:semiHidden/>
    <w:unhideWhenUsed/>
    <w:rsid w:val="00177AD9"/>
  </w:style>
  <w:style w:type="character" w:styleId="BesuchterHyperlink">
    <w:name w:val="FollowedHyperlink"/>
    <w:basedOn w:val="Absatz-Standardschriftart"/>
    <w:uiPriority w:val="99"/>
    <w:semiHidden/>
    <w:unhideWhenUsed/>
    <w:rsid w:val="005F1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0265">
      <w:bodyDiv w:val="1"/>
      <w:marLeft w:val="0"/>
      <w:marRight w:val="0"/>
      <w:marTop w:val="0"/>
      <w:marBottom w:val="0"/>
      <w:divBdr>
        <w:top w:val="none" w:sz="0" w:space="0" w:color="auto"/>
        <w:left w:val="none" w:sz="0" w:space="0" w:color="auto"/>
        <w:bottom w:val="none" w:sz="0" w:space="0" w:color="auto"/>
        <w:right w:val="none" w:sz="0" w:space="0" w:color="auto"/>
      </w:divBdr>
    </w:div>
    <w:div w:id="734593965">
      <w:bodyDiv w:val="1"/>
      <w:marLeft w:val="0"/>
      <w:marRight w:val="0"/>
      <w:marTop w:val="0"/>
      <w:marBottom w:val="0"/>
      <w:divBdr>
        <w:top w:val="none" w:sz="0" w:space="0" w:color="auto"/>
        <w:left w:val="none" w:sz="0" w:space="0" w:color="auto"/>
        <w:bottom w:val="none" w:sz="0" w:space="0" w:color="auto"/>
        <w:right w:val="none" w:sz="0" w:space="0" w:color="auto"/>
      </w:divBdr>
    </w:div>
    <w:div w:id="903223962">
      <w:bodyDiv w:val="1"/>
      <w:marLeft w:val="0"/>
      <w:marRight w:val="0"/>
      <w:marTop w:val="0"/>
      <w:marBottom w:val="0"/>
      <w:divBdr>
        <w:top w:val="none" w:sz="0" w:space="0" w:color="auto"/>
        <w:left w:val="none" w:sz="0" w:space="0" w:color="auto"/>
        <w:bottom w:val="none" w:sz="0" w:space="0" w:color="auto"/>
        <w:right w:val="none" w:sz="0" w:space="0" w:color="auto"/>
      </w:divBdr>
    </w:div>
    <w:div w:id="19688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nm.org/index.php?option=com_docman&amp;task=cat_view&amp;gid=71&amp;Itemid=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ean.org/archive/5187-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mmerce.nic.in/trade/revised_offer1.pdf" TargetMode="External"/><Relationship Id="rId2" Type="http://schemas.openxmlformats.org/officeDocument/2006/relationships/hyperlink" Target="http://trade.ec.europa.eu/doclib/docs/2012/november/tradoc_150087.pdf" TargetMode="External"/><Relationship Id="rId1" Type="http://schemas.openxmlformats.org/officeDocument/2006/relationships/hyperlink" Target="http://www.nasscom.in/indian-itbpo-industr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l\Documents\NCCR%20TRade\Graph%20Commitments%20in%20FTAs%20in%20Percent_US%20EU%20Ind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Tabelle1!$A$5</c:f>
              <c:strCache>
                <c:ptCount val="1"/>
                <c:pt idx="0">
                  <c:v>ICT</c:v>
                </c:pt>
              </c:strCache>
            </c:strRef>
          </c:tx>
          <c:invertIfNegative val="0"/>
          <c:cat>
            <c:strRef>
              <c:f>Tabelle1!$B$4:$D$4</c:f>
              <c:strCache>
                <c:ptCount val="3"/>
                <c:pt idx="0">
                  <c:v>US (14)</c:v>
                </c:pt>
                <c:pt idx="1">
                  <c:v>EU (34)</c:v>
                </c:pt>
                <c:pt idx="2">
                  <c:v>India (4) </c:v>
                </c:pt>
              </c:strCache>
            </c:strRef>
          </c:cat>
          <c:val>
            <c:numRef>
              <c:f>Tabelle1!$B$5:$D$5</c:f>
              <c:numCache>
                <c:formatCode>General</c:formatCode>
                <c:ptCount val="3"/>
                <c:pt idx="0">
                  <c:v>25.57</c:v>
                </c:pt>
                <c:pt idx="1">
                  <c:v>67.650000000000006</c:v>
                </c:pt>
                <c:pt idx="2">
                  <c:v>100</c:v>
                </c:pt>
              </c:numCache>
            </c:numRef>
          </c:val>
        </c:ser>
        <c:ser>
          <c:idx val="1"/>
          <c:order val="1"/>
          <c:tx>
            <c:strRef>
              <c:f>Tabelle1!$A$6</c:f>
              <c:strCache>
                <c:ptCount val="1"/>
                <c:pt idx="0">
                  <c:v>Business Visitors</c:v>
                </c:pt>
              </c:strCache>
            </c:strRef>
          </c:tx>
          <c:invertIfNegative val="0"/>
          <c:cat>
            <c:strRef>
              <c:f>Tabelle1!$B$4:$D$4</c:f>
              <c:strCache>
                <c:ptCount val="3"/>
                <c:pt idx="0">
                  <c:v>US (14)</c:v>
                </c:pt>
                <c:pt idx="1">
                  <c:v>EU (34)</c:v>
                </c:pt>
                <c:pt idx="2">
                  <c:v>India (4) </c:v>
                </c:pt>
              </c:strCache>
            </c:strRef>
          </c:cat>
          <c:val>
            <c:numRef>
              <c:f>Tabelle1!$B$6:$D$6</c:f>
              <c:numCache>
                <c:formatCode>General</c:formatCode>
                <c:ptCount val="3"/>
                <c:pt idx="0">
                  <c:v>21.43</c:v>
                </c:pt>
                <c:pt idx="1">
                  <c:v>14.7</c:v>
                </c:pt>
                <c:pt idx="2">
                  <c:v>100</c:v>
                </c:pt>
              </c:numCache>
            </c:numRef>
          </c:val>
        </c:ser>
        <c:ser>
          <c:idx val="2"/>
          <c:order val="2"/>
          <c:tx>
            <c:strRef>
              <c:f>Tabelle1!$A$7</c:f>
              <c:strCache>
                <c:ptCount val="1"/>
                <c:pt idx="0">
                  <c:v>Traders</c:v>
                </c:pt>
              </c:strCache>
            </c:strRef>
          </c:tx>
          <c:invertIfNegative val="0"/>
          <c:cat>
            <c:strRef>
              <c:f>Tabelle1!$B$4:$D$4</c:f>
              <c:strCache>
                <c:ptCount val="3"/>
                <c:pt idx="0">
                  <c:v>US (14)</c:v>
                </c:pt>
                <c:pt idx="1">
                  <c:v>EU (34)</c:v>
                </c:pt>
                <c:pt idx="2">
                  <c:v>India (4) </c:v>
                </c:pt>
              </c:strCache>
            </c:strRef>
          </c:cat>
          <c:val>
            <c:numRef>
              <c:f>Tabelle1!$B$7:$D$7</c:f>
              <c:numCache>
                <c:formatCode>General</c:formatCode>
                <c:ptCount val="3"/>
                <c:pt idx="0">
                  <c:v>21.419999999999991</c:v>
                </c:pt>
                <c:pt idx="1">
                  <c:v>5.88</c:v>
                </c:pt>
                <c:pt idx="2">
                  <c:v>50</c:v>
                </c:pt>
              </c:numCache>
            </c:numRef>
          </c:val>
        </c:ser>
        <c:ser>
          <c:idx val="3"/>
          <c:order val="3"/>
          <c:tx>
            <c:strRef>
              <c:f>Tabelle1!$A$8</c:f>
              <c:strCache>
                <c:ptCount val="1"/>
                <c:pt idx="0">
                  <c:v>Independent Professionals</c:v>
                </c:pt>
              </c:strCache>
            </c:strRef>
          </c:tx>
          <c:invertIfNegative val="0"/>
          <c:cat>
            <c:strRef>
              <c:f>Tabelle1!$B$4:$D$4</c:f>
              <c:strCache>
                <c:ptCount val="3"/>
                <c:pt idx="0">
                  <c:v>US (14)</c:v>
                </c:pt>
                <c:pt idx="1">
                  <c:v>EU (34)</c:v>
                </c:pt>
                <c:pt idx="2">
                  <c:v>India (4) </c:v>
                </c:pt>
              </c:strCache>
            </c:strRef>
          </c:cat>
          <c:val>
            <c:numRef>
              <c:f>Tabelle1!$B$8:$D$8</c:f>
              <c:numCache>
                <c:formatCode>General</c:formatCode>
                <c:ptCount val="3"/>
                <c:pt idx="0">
                  <c:v>14.29</c:v>
                </c:pt>
                <c:pt idx="1">
                  <c:v>20.58</c:v>
                </c:pt>
                <c:pt idx="2">
                  <c:v>75</c:v>
                </c:pt>
              </c:numCache>
            </c:numRef>
          </c:val>
        </c:ser>
        <c:ser>
          <c:idx val="4"/>
          <c:order val="4"/>
          <c:tx>
            <c:strRef>
              <c:f>Tabelle1!$A$9</c:f>
              <c:strCache>
                <c:ptCount val="1"/>
                <c:pt idx="0">
                  <c:v>Contractual Service Suppliers</c:v>
                </c:pt>
              </c:strCache>
            </c:strRef>
          </c:tx>
          <c:invertIfNegative val="0"/>
          <c:cat>
            <c:strRef>
              <c:f>Tabelle1!$B$4:$D$4</c:f>
              <c:strCache>
                <c:ptCount val="3"/>
                <c:pt idx="0">
                  <c:v>US (14)</c:v>
                </c:pt>
                <c:pt idx="1">
                  <c:v>EU (34)</c:v>
                </c:pt>
                <c:pt idx="2">
                  <c:v>India (4) </c:v>
                </c:pt>
              </c:strCache>
            </c:strRef>
          </c:cat>
          <c:val>
            <c:numRef>
              <c:f>Tabelle1!$B$9:$D$9</c:f>
              <c:numCache>
                <c:formatCode>General</c:formatCode>
                <c:ptCount val="3"/>
                <c:pt idx="0">
                  <c:v>0</c:v>
                </c:pt>
                <c:pt idx="1">
                  <c:v>11.76</c:v>
                </c:pt>
                <c:pt idx="2">
                  <c:v>100</c:v>
                </c:pt>
              </c:numCache>
            </c:numRef>
          </c:val>
        </c:ser>
        <c:ser>
          <c:idx val="5"/>
          <c:order val="5"/>
          <c:tx>
            <c:strRef>
              <c:f>Tabelle1!$A$10</c:f>
              <c:strCache>
                <c:ptCount val="1"/>
                <c:pt idx="0">
                  <c:v>Trainees</c:v>
                </c:pt>
              </c:strCache>
            </c:strRef>
          </c:tx>
          <c:invertIfNegative val="0"/>
          <c:cat>
            <c:strRef>
              <c:f>Tabelle1!$B$4:$D$4</c:f>
              <c:strCache>
                <c:ptCount val="3"/>
                <c:pt idx="0">
                  <c:v>US (14)</c:v>
                </c:pt>
                <c:pt idx="1">
                  <c:v>EU (34)</c:v>
                </c:pt>
                <c:pt idx="2">
                  <c:v>India (4) </c:v>
                </c:pt>
              </c:strCache>
            </c:strRef>
          </c:cat>
          <c:val>
            <c:numRef>
              <c:f>Tabelle1!$B$10:$D$10</c:f>
              <c:numCache>
                <c:formatCode>General</c:formatCode>
                <c:ptCount val="3"/>
                <c:pt idx="0">
                  <c:v>0</c:v>
                </c:pt>
                <c:pt idx="1">
                  <c:v>11.76</c:v>
                </c:pt>
                <c:pt idx="2">
                  <c:v>0</c:v>
                </c:pt>
              </c:numCache>
            </c:numRef>
          </c:val>
        </c:ser>
        <c:ser>
          <c:idx val="6"/>
          <c:order val="6"/>
          <c:tx>
            <c:strRef>
              <c:f>Tabelle1!$A$11</c:f>
              <c:strCache>
                <c:ptCount val="1"/>
                <c:pt idx="0">
                  <c:v>Installers</c:v>
                </c:pt>
              </c:strCache>
            </c:strRef>
          </c:tx>
          <c:invertIfNegative val="0"/>
          <c:cat>
            <c:strRef>
              <c:f>Tabelle1!$B$4:$D$4</c:f>
              <c:strCache>
                <c:ptCount val="3"/>
                <c:pt idx="0">
                  <c:v>US (14)</c:v>
                </c:pt>
                <c:pt idx="1">
                  <c:v>EU (34)</c:v>
                </c:pt>
                <c:pt idx="2">
                  <c:v>India (4) </c:v>
                </c:pt>
              </c:strCache>
            </c:strRef>
          </c:cat>
          <c:val>
            <c:numRef>
              <c:f>Tabelle1!$B$11:$D$11</c:f>
              <c:numCache>
                <c:formatCode>General</c:formatCode>
                <c:ptCount val="3"/>
                <c:pt idx="0">
                  <c:v>7.1499999999999986</c:v>
                </c:pt>
                <c:pt idx="1">
                  <c:v>0</c:v>
                </c:pt>
                <c:pt idx="2">
                  <c:v>25</c:v>
                </c:pt>
              </c:numCache>
            </c:numRef>
          </c:val>
        </c:ser>
        <c:dLbls>
          <c:showLegendKey val="0"/>
          <c:showVal val="0"/>
          <c:showCatName val="0"/>
          <c:showSerName val="0"/>
          <c:showPercent val="0"/>
          <c:showBubbleSize val="0"/>
        </c:dLbls>
        <c:gapWidth val="150"/>
        <c:axId val="200613248"/>
        <c:axId val="200627328"/>
      </c:barChart>
      <c:catAx>
        <c:axId val="200613248"/>
        <c:scaling>
          <c:orientation val="minMax"/>
        </c:scaling>
        <c:delete val="0"/>
        <c:axPos val="b"/>
        <c:majorTickMark val="out"/>
        <c:minorTickMark val="none"/>
        <c:tickLblPos val="nextTo"/>
        <c:txPr>
          <a:bodyPr/>
          <a:lstStyle/>
          <a:p>
            <a:pPr>
              <a:defRPr lang="de-CH"/>
            </a:pPr>
            <a:endParaRPr lang="de-DE"/>
          </a:p>
        </c:txPr>
        <c:crossAx val="200627328"/>
        <c:crosses val="autoZero"/>
        <c:auto val="1"/>
        <c:lblAlgn val="ctr"/>
        <c:lblOffset val="100"/>
        <c:noMultiLvlLbl val="0"/>
      </c:catAx>
      <c:valAx>
        <c:axId val="200627328"/>
        <c:scaling>
          <c:orientation val="minMax"/>
          <c:max val="100"/>
        </c:scaling>
        <c:delete val="0"/>
        <c:axPos val="l"/>
        <c:majorGridlines/>
        <c:numFmt formatCode="General" sourceLinked="1"/>
        <c:majorTickMark val="out"/>
        <c:minorTickMark val="none"/>
        <c:tickLblPos val="nextTo"/>
        <c:txPr>
          <a:bodyPr/>
          <a:lstStyle/>
          <a:p>
            <a:pPr>
              <a:defRPr lang="de-CH"/>
            </a:pPr>
            <a:endParaRPr lang="de-DE"/>
          </a:p>
        </c:txPr>
        <c:crossAx val="200613248"/>
        <c:crosses val="autoZero"/>
        <c:crossBetween val="between"/>
      </c:valAx>
    </c:plotArea>
    <c:legend>
      <c:legendPos val="r"/>
      <c:overlay val="0"/>
      <c:txPr>
        <a:bodyPr/>
        <a:lstStyle/>
        <a:p>
          <a:pPr>
            <a:defRPr lang="de-CH"/>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B1D0-56C2-4779-8B94-F96CA122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6992</Words>
  <Characters>44056</Characters>
  <Application>Microsoft Office Word</Application>
  <DocSecurity>0</DocSecurity>
  <Lines>367</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sl</cp:lastModifiedBy>
  <cp:revision>2</cp:revision>
  <cp:lastPrinted>2014-10-23T13:34:00Z</cp:lastPrinted>
  <dcterms:created xsi:type="dcterms:W3CDTF">2015-01-02T16:27:00Z</dcterms:created>
  <dcterms:modified xsi:type="dcterms:W3CDTF">2015-01-02T16:27:00Z</dcterms:modified>
</cp:coreProperties>
</file>