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33C49" w14:textId="31085330" w:rsidR="009376A4" w:rsidRPr="00EB38F7" w:rsidRDefault="00D51BC6" w:rsidP="009376A4">
      <w:pPr>
        <w:ind w:firstLine="0"/>
        <w:jc w:val="center"/>
        <w:rPr>
          <w:rFonts w:ascii="Times New Roman" w:hAnsi="Times New Roman"/>
          <w:b/>
          <w:bCs/>
          <w:i/>
          <w:iCs/>
        </w:rPr>
      </w:pPr>
      <w:r>
        <w:rPr>
          <w:rFonts w:ascii="Times New Roman" w:hAnsi="Times New Roman"/>
          <w:b/>
          <w:bCs/>
          <w:i/>
          <w:iCs/>
        </w:rPr>
        <w:t xml:space="preserve">Democratic Social Bargaining in Trade: </w:t>
      </w:r>
      <w:r>
        <w:rPr>
          <w:rFonts w:ascii="Times New Roman" w:hAnsi="Times New Roman"/>
          <w:b/>
          <w:bCs/>
          <w:i/>
          <w:iCs/>
        </w:rPr>
        <w:t xml:space="preserve">Preserving Environmental Justice </w:t>
      </w:r>
      <w:r w:rsidR="009376A4">
        <w:rPr>
          <w:rFonts w:ascii="Times New Roman" w:hAnsi="Times New Roman"/>
          <w:b/>
          <w:bCs/>
          <w:i/>
          <w:iCs/>
        </w:rPr>
        <w:t xml:space="preserve"> </w:t>
      </w:r>
    </w:p>
    <w:p w14:paraId="015C807C" w14:textId="77777777" w:rsidR="009376A4" w:rsidRDefault="009376A4" w:rsidP="009376A4">
      <w:pPr>
        <w:spacing w:before="100" w:beforeAutospacing="1" w:after="100" w:afterAutospacing="1"/>
        <w:jc w:val="center"/>
        <w:rPr>
          <w:rFonts w:ascii="Times New Roman" w:hAnsi="Times New Roman"/>
          <w:b/>
          <w:bCs/>
        </w:rPr>
      </w:pPr>
      <w:r>
        <w:rPr>
          <w:rFonts w:ascii="Times New Roman" w:hAnsi="Times New Roman"/>
          <w:b/>
          <w:bCs/>
        </w:rPr>
        <w:t>By: Elizabeth Trujillo*</w:t>
      </w:r>
      <w:r>
        <w:rPr>
          <w:rStyle w:val="FootnoteReference"/>
          <w:rFonts w:ascii="Times New Roman" w:eastAsiaTheme="majorEastAsia" w:hAnsi="Times New Roman"/>
          <w:b/>
          <w:bCs/>
        </w:rPr>
        <w:footnoteReference w:id="1"/>
      </w:r>
    </w:p>
    <w:p w14:paraId="54B9BEDB" w14:textId="77777777" w:rsidR="009376A4" w:rsidRPr="00F256B5" w:rsidRDefault="009376A4" w:rsidP="009376A4">
      <w:pPr>
        <w:spacing w:before="100" w:beforeAutospacing="1" w:after="100" w:afterAutospacing="1"/>
        <w:jc w:val="center"/>
        <w:rPr>
          <w:rFonts w:ascii="Times New Roman" w:hAnsi="Times New Roman"/>
          <w:b/>
          <w:bCs/>
        </w:rPr>
      </w:pPr>
      <w:r w:rsidRPr="00F256B5">
        <w:rPr>
          <w:rFonts w:ascii="Times New Roman" w:hAnsi="Times New Roman"/>
          <w:b/>
          <w:bCs/>
        </w:rPr>
        <w:t>Abstract</w:t>
      </w:r>
    </w:p>
    <w:p w14:paraId="74DBBF08" w14:textId="6ADF9B89" w:rsidR="009376A4" w:rsidRDefault="00D51BC6" w:rsidP="009376A4">
      <w:pPr>
        <w:spacing w:before="100" w:beforeAutospacing="1" w:after="100" w:afterAutospacing="1"/>
        <w:ind w:firstLine="720"/>
        <w:rPr>
          <w:rFonts w:ascii="Times New Roman" w:hAnsi="Times New Roman"/>
        </w:rPr>
      </w:pPr>
      <w:r>
        <w:rPr>
          <w:rFonts w:ascii="Times New Roman" w:hAnsi="Times New Roman"/>
        </w:rPr>
        <w:t>R</w:t>
      </w:r>
      <w:r>
        <w:rPr>
          <w:rFonts w:ascii="Times New Roman" w:hAnsi="Times New Roman"/>
        </w:rPr>
        <w:t xml:space="preserve">egional trade agreements, dominated by the U.S. and EU models for free trade, </w:t>
      </w:r>
      <w:r w:rsidR="00822144">
        <w:rPr>
          <w:rFonts w:ascii="Times New Roman" w:hAnsi="Times New Roman"/>
        </w:rPr>
        <w:t>are</w:t>
      </w:r>
      <w:r>
        <w:rPr>
          <w:rFonts w:ascii="Times New Roman" w:hAnsi="Times New Roman"/>
        </w:rPr>
        <w:t xml:space="preserve"> </w:t>
      </w:r>
      <w:r w:rsidR="00822144">
        <w:rPr>
          <w:rFonts w:ascii="Times New Roman" w:hAnsi="Times New Roman"/>
        </w:rPr>
        <w:t xml:space="preserve">not </w:t>
      </w:r>
      <w:r>
        <w:rPr>
          <w:rFonts w:ascii="Times New Roman" w:hAnsi="Times New Roman"/>
        </w:rPr>
        <w:t xml:space="preserve">only tools for economic policy.  They also </w:t>
      </w:r>
      <w:r w:rsidR="00822144">
        <w:rPr>
          <w:rFonts w:ascii="Times New Roman" w:hAnsi="Times New Roman"/>
        </w:rPr>
        <w:t>are</w:t>
      </w:r>
      <w:r>
        <w:rPr>
          <w:rFonts w:ascii="Times New Roman" w:hAnsi="Times New Roman"/>
        </w:rPr>
        <w:t xml:space="preserve"> </w:t>
      </w:r>
      <w:r w:rsidR="00822144">
        <w:rPr>
          <w:rFonts w:ascii="Times New Roman" w:hAnsi="Times New Roman"/>
        </w:rPr>
        <w:t xml:space="preserve">democratic </w:t>
      </w:r>
      <w:r>
        <w:rPr>
          <w:rFonts w:ascii="Times New Roman" w:hAnsi="Times New Roman"/>
        </w:rPr>
        <w:t>bargaining instruments for various domestic and transnational stakeholders, including environmental and labor groups, effectively insulating certain social policy goals and values from local political volatility.</w:t>
      </w:r>
      <w:r>
        <w:rPr>
          <w:rFonts w:ascii="Times New Roman" w:hAnsi="Times New Roman"/>
        </w:rPr>
        <w:t xml:space="preserve">  </w:t>
      </w:r>
      <w:r w:rsidR="009376A4">
        <w:rPr>
          <w:rFonts w:ascii="Times New Roman" w:hAnsi="Times New Roman"/>
        </w:rPr>
        <w:t xml:space="preserve">Despite recent executive orders overturning </w:t>
      </w:r>
      <w:r w:rsidR="00822144">
        <w:rPr>
          <w:rFonts w:ascii="Times New Roman" w:hAnsi="Times New Roman"/>
        </w:rPr>
        <w:t>President</w:t>
      </w:r>
      <w:r w:rsidR="009376A4">
        <w:rPr>
          <w:rFonts w:ascii="Times New Roman" w:hAnsi="Times New Roman"/>
        </w:rPr>
        <w:t xml:space="preserve"> Biden administration’s environmental justice initiatives, </w:t>
      </w:r>
      <w:r>
        <w:rPr>
          <w:rFonts w:ascii="Times New Roman" w:hAnsi="Times New Roman"/>
        </w:rPr>
        <w:t xml:space="preserve">this paper posits that </w:t>
      </w:r>
      <w:r w:rsidR="00E66144">
        <w:rPr>
          <w:rFonts w:ascii="Times New Roman" w:hAnsi="Times New Roman"/>
        </w:rPr>
        <w:t xml:space="preserve">given expansive supply chain networks, </w:t>
      </w:r>
      <w:r>
        <w:rPr>
          <w:rFonts w:ascii="Times New Roman" w:hAnsi="Times New Roman"/>
        </w:rPr>
        <w:t xml:space="preserve">regional and bilateral trade agreements ensure that </w:t>
      </w:r>
      <w:r w:rsidR="009376A4">
        <w:rPr>
          <w:rFonts w:ascii="Times New Roman" w:hAnsi="Times New Roman"/>
        </w:rPr>
        <w:t xml:space="preserve">environmental justice </w:t>
      </w:r>
      <w:r>
        <w:rPr>
          <w:rFonts w:ascii="Times New Roman" w:hAnsi="Times New Roman"/>
        </w:rPr>
        <w:t xml:space="preserve">strategies are </w:t>
      </w:r>
      <w:r w:rsidR="009376A4">
        <w:rPr>
          <w:rFonts w:ascii="Times New Roman" w:hAnsi="Times New Roman"/>
        </w:rPr>
        <w:t xml:space="preserve">not dead.   The pro-business reasons that motivate eliminating environmental justice goals run up against structural aspects of regional and bilateral trade agreements that have had embedded in them various strategies for pursuing environmental justice since the days of the original NAFTA.    Regional trade agreements, like the United States Mexico Canada Agreement (USMCA) which was negotiated under the first President Trump administration, have deeply embedded social policy agendas, including environmental justice goals.  </w:t>
      </w:r>
      <w:r>
        <w:rPr>
          <w:rFonts w:ascii="Times New Roman" w:hAnsi="Times New Roman"/>
        </w:rPr>
        <w:t>Likewise,</w:t>
      </w:r>
      <w:r w:rsidR="009376A4">
        <w:rPr>
          <w:rFonts w:ascii="Times New Roman" w:hAnsi="Times New Roman"/>
        </w:rPr>
        <w:t xml:space="preserve"> EU </w:t>
      </w:r>
      <w:r w:rsidR="00822144">
        <w:rPr>
          <w:rFonts w:ascii="Times New Roman" w:hAnsi="Times New Roman"/>
        </w:rPr>
        <w:t xml:space="preserve">trade agreements preserve regional social values, as exhibited in the </w:t>
      </w:r>
      <w:r w:rsidR="009376A4">
        <w:rPr>
          <w:rFonts w:ascii="Times New Roman" w:hAnsi="Times New Roman"/>
        </w:rPr>
        <w:t xml:space="preserve">recently concluded EU-MERCOSUR Association Agreement which contains the Paris Climate Agreement as “an essential element” of the agreement.  </w:t>
      </w:r>
    </w:p>
    <w:p w14:paraId="2D3C9BA8" w14:textId="053B8B92" w:rsidR="009376A4" w:rsidRDefault="009376A4" w:rsidP="009376A4">
      <w:pPr>
        <w:ind w:firstLine="720"/>
        <w:rPr>
          <w:rFonts w:ascii="Times New Roman" w:hAnsi="Times New Roman"/>
        </w:rPr>
      </w:pPr>
      <w:r>
        <w:rPr>
          <w:rFonts w:ascii="Times New Roman" w:hAnsi="Times New Roman"/>
        </w:rPr>
        <w:t xml:space="preserve">Regional </w:t>
      </w:r>
      <w:r w:rsidR="00571A9A">
        <w:rPr>
          <w:rFonts w:ascii="Times New Roman" w:hAnsi="Times New Roman"/>
        </w:rPr>
        <w:t xml:space="preserve">and bilateral </w:t>
      </w:r>
      <w:r>
        <w:rPr>
          <w:rFonts w:ascii="Times New Roman" w:hAnsi="Times New Roman"/>
        </w:rPr>
        <w:t>trade agreements provide opportunities for promoting environmental justice</w:t>
      </w:r>
      <w:r w:rsidRPr="009238EE">
        <w:rPr>
          <w:rFonts w:ascii="Times New Roman" w:hAnsi="Times New Roman"/>
        </w:rPr>
        <w:t xml:space="preserve"> goals </w:t>
      </w:r>
      <w:r>
        <w:rPr>
          <w:rFonts w:ascii="Times New Roman" w:hAnsi="Times New Roman"/>
        </w:rPr>
        <w:t>primarily in two ways</w:t>
      </w:r>
      <w:r w:rsidRPr="009238EE">
        <w:rPr>
          <w:rFonts w:ascii="Times New Roman" w:hAnsi="Times New Roman"/>
        </w:rPr>
        <w:t xml:space="preserve">: 1) for </w:t>
      </w:r>
      <w:r>
        <w:rPr>
          <w:rFonts w:ascii="Times New Roman" w:hAnsi="Times New Roman"/>
        </w:rPr>
        <w:t>their</w:t>
      </w:r>
      <w:r w:rsidRPr="009238EE">
        <w:rPr>
          <w:rFonts w:ascii="Times New Roman" w:hAnsi="Times New Roman"/>
        </w:rPr>
        <w:t xml:space="preserve"> potential to connect the local with the global, and 2) </w:t>
      </w:r>
      <w:r>
        <w:rPr>
          <w:rFonts w:ascii="Times New Roman" w:hAnsi="Times New Roman"/>
        </w:rPr>
        <w:t>for leveraging</w:t>
      </w:r>
      <w:r w:rsidRPr="009238EE">
        <w:rPr>
          <w:rFonts w:ascii="Times New Roman" w:hAnsi="Times New Roman"/>
        </w:rPr>
        <w:t xml:space="preserve"> local efforts to address environmental justice challenges. </w:t>
      </w:r>
      <w:r>
        <w:rPr>
          <w:rFonts w:ascii="Times New Roman" w:hAnsi="Times New Roman"/>
        </w:rPr>
        <w:t xml:space="preserve"> As an example, t</w:t>
      </w:r>
      <w:r w:rsidRPr="009238EE">
        <w:rPr>
          <w:rFonts w:ascii="Times New Roman" w:hAnsi="Times New Roman"/>
        </w:rPr>
        <w:t xml:space="preserve">he paper </w:t>
      </w:r>
      <w:r>
        <w:rPr>
          <w:rFonts w:ascii="Times New Roman" w:hAnsi="Times New Roman"/>
        </w:rPr>
        <w:t>identifies</w:t>
      </w:r>
      <w:r w:rsidRPr="009238EE">
        <w:rPr>
          <w:rFonts w:ascii="Times New Roman" w:hAnsi="Times New Roman"/>
        </w:rPr>
        <w:t xml:space="preserve"> four ways that the USMC</w:t>
      </w:r>
      <w:r>
        <w:rPr>
          <w:rFonts w:ascii="Times New Roman" w:hAnsi="Times New Roman"/>
        </w:rPr>
        <w:t>A, though not explicitly mentioning environmental justice,</w:t>
      </w:r>
      <w:r w:rsidRPr="009238EE">
        <w:rPr>
          <w:rFonts w:ascii="Times New Roman" w:hAnsi="Times New Roman"/>
        </w:rPr>
        <w:t xml:space="preserve"> </w:t>
      </w:r>
      <w:r>
        <w:rPr>
          <w:rFonts w:ascii="Times New Roman" w:hAnsi="Times New Roman"/>
        </w:rPr>
        <w:t>furthers environmental justice goals embedded within other principles of environmental protection and sustainability</w:t>
      </w:r>
      <w:r w:rsidRPr="009238EE">
        <w:rPr>
          <w:rFonts w:ascii="Times New Roman" w:hAnsi="Times New Roman"/>
        </w:rPr>
        <w:t xml:space="preserve"> 1) procedural</w:t>
      </w:r>
      <w:r>
        <w:rPr>
          <w:rFonts w:ascii="Times New Roman" w:hAnsi="Times New Roman"/>
        </w:rPr>
        <w:t>ly</w:t>
      </w:r>
      <w:r w:rsidRPr="009238EE">
        <w:rPr>
          <w:rFonts w:ascii="Times New Roman" w:hAnsi="Times New Roman"/>
        </w:rPr>
        <w:t>; 2) structural</w:t>
      </w:r>
      <w:r>
        <w:rPr>
          <w:rFonts w:ascii="Times New Roman" w:hAnsi="Times New Roman"/>
        </w:rPr>
        <w:t>ly</w:t>
      </w:r>
      <w:r w:rsidRPr="009238EE">
        <w:rPr>
          <w:rFonts w:ascii="Times New Roman" w:hAnsi="Times New Roman"/>
        </w:rPr>
        <w:t xml:space="preserve"> and institutional</w:t>
      </w:r>
      <w:r>
        <w:rPr>
          <w:rFonts w:ascii="Times New Roman" w:hAnsi="Times New Roman"/>
        </w:rPr>
        <w:t>ly</w:t>
      </w:r>
      <w:r w:rsidRPr="009238EE">
        <w:rPr>
          <w:rFonts w:ascii="Times New Roman" w:hAnsi="Times New Roman"/>
        </w:rPr>
        <w:t>; 3) substantively within the text; and 4) remedially in the ways that compliance mechanisms may be enforced</w:t>
      </w:r>
      <w:r>
        <w:rPr>
          <w:rFonts w:ascii="Times New Roman" w:hAnsi="Times New Roman"/>
        </w:rPr>
        <w:t>, primarily through tariffs</w:t>
      </w:r>
      <w:r w:rsidRPr="009238EE">
        <w:rPr>
          <w:rFonts w:ascii="Times New Roman" w:hAnsi="Times New Roman"/>
        </w:rPr>
        <w:t xml:space="preserve">. </w:t>
      </w:r>
      <w:r>
        <w:rPr>
          <w:rFonts w:ascii="Times New Roman" w:hAnsi="Times New Roman"/>
        </w:rPr>
        <w:t xml:space="preserve">  </w:t>
      </w:r>
    </w:p>
    <w:p w14:paraId="5F7D6D76" w14:textId="77777777" w:rsidR="00327B7B" w:rsidRDefault="00327B7B" w:rsidP="009376A4">
      <w:pPr>
        <w:ind w:firstLine="720"/>
        <w:rPr>
          <w:rFonts w:ascii="Times New Roman" w:hAnsi="Times New Roman"/>
        </w:rPr>
      </w:pPr>
    </w:p>
    <w:p w14:paraId="092C385A" w14:textId="601ABDB9" w:rsidR="009376A4" w:rsidRPr="009238EE" w:rsidRDefault="009376A4" w:rsidP="009376A4">
      <w:pPr>
        <w:ind w:firstLine="720"/>
        <w:rPr>
          <w:rFonts w:ascii="Times New Roman" w:hAnsi="Times New Roman"/>
          <w:u w:val="single"/>
        </w:rPr>
      </w:pPr>
      <w:r w:rsidRPr="00364C2D">
        <w:rPr>
          <w:rFonts w:ascii="Times New Roman" w:hAnsi="Times New Roman"/>
          <w:szCs w:val="24"/>
        </w:rPr>
        <w:t>The paper makes three innovative normative contributions to the environmental justice literature</w:t>
      </w:r>
      <w:r w:rsidR="00327B7B">
        <w:rPr>
          <w:rFonts w:ascii="Times New Roman" w:hAnsi="Times New Roman"/>
          <w:szCs w:val="24"/>
        </w:rPr>
        <w:t xml:space="preserve"> and to trade scholarship</w:t>
      </w:r>
      <w:r w:rsidRPr="00364C2D">
        <w:rPr>
          <w:rFonts w:ascii="Times New Roman" w:hAnsi="Times New Roman"/>
          <w:szCs w:val="24"/>
        </w:rPr>
        <w:t xml:space="preserve">.  First, it examines the ways that </w:t>
      </w:r>
      <w:r w:rsidR="0068309A">
        <w:rPr>
          <w:rFonts w:ascii="Times New Roman" w:hAnsi="Times New Roman"/>
          <w:szCs w:val="24"/>
        </w:rPr>
        <w:t xml:space="preserve">Western </w:t>
      </w:r>
      <w:r w:rsidRPr="00364C2D">
        <w:rPr>
          <w:rFonts w:ascii="Times New Roman" w:hAnsi="Times New Roman"/>
          <w:szCs w:val="24"/>
        </w:rPr>
        <w:t xml:space="preserve">trade </w:t>
      </w:r>
      <w:r w:rsidR="0068309A">
        <w:rPr>
          <w:rFonts w:ascii="Times New Roman" w:hAnsi="Times New Roman"/>
          <w:szCs w:val="24"/>
        </w:rPr>
        <w:t xml:space="preserve">agreements have already </w:t>
      </w:r>
      <w:r w:rsidRPr="00364C2D">
        <w:rPr>
          <w:rFonts w:ascii="Times New Roman" w:hAnsi="Times New Roman"/>
          <w:szCs w:val="24"/>
        </w:rPr>
        <w:t xml:space="preserve">incorporated environmental justice strategies </w:t>
      </w:r>
      <w:r w:rsidR="0068309A">
        <w:rPr>
          <w:rFonts w:ascii="Times New Roman" w:hAnsi="Times New Roman"/>
          <w:szCs w:val="24"/>
        </w:rPr>
        <w:t xml:space="preserve">through their environmental protection provisions and sustainability principles.  </w:t>
      </w:r>
      <w:r w:rsidRPr="00364C2D">
        <w:rPr>
          <w:rFonts w:ascii="Times New Roman" w:hAnsi="Times New Roman"/>
          <w:szCs w:val="24"/>
        </w:rPr>
        <w:t xml:space="preserve">Second, it </w:t>
      </w:r>
      <w:r w:rsidR="0068309A">
        <w:rPr>
          <w:rFonts w:ascii="Times New Roman" w:hAnsi="Times New Roman"/>
          <w:color w:val="212121"/>
          <w:szCs w:val="24"/>
        </w:rPr>
        <w:t>borrows from</w:t>
      </w:r>
      <w:r w:rsidRPr="00BC7D53">
        <w:rPr>
          <w:rFonts w:ascii="Times New Roman" w:hAnsi="Times New Roman"/>
          <w:color w:val="212121"/>
          <w:szCs w:val="24"/>
        </w:rPr>
        <w:t xml:space="preserve"> the social sciences </w:t>
      </w:r>
      <w:r w:rsidR="0068309A">
        <w:rPr>
          <w:rFonts w:ascii="Times New Roman" w:hAnsi="Times New Roman"/>
          <w:color w:val="212121"/>
          <w:szCs w:val="24"/>
        </w:rPr>
        <w:t>literature on</w:t>
      </w:r>
      <w:r w:rsidRPr="00BC7D53">
        <w:rPr>
          <w:rFonts w:ascii="Times New Roman" w:hAnsi="Times New Roman"/>
          <w:color w:val="212121"/>
          <w:szCs w:val="24"/>
        </w:rPr>
        <w:t xml:space="preserve"> “tele</w:t>
      </w:r>
      <w:r>
        <w:rPr>
          <w:rFonts w:ascii="Times New Roman" w:hAnsi="Times New Roman"/>
          <w:color w:val="212121"/>
          <w:szCs w:val="24"/>
        </w:rPr>
        <w:t>-</w:t>
      </w:r>
      <w:r w:rsidRPr="00BC7D53">
        <w:rPr>
          <w:rFonts w:ascii="Times New Roman" w:hAnsi="Times New Roman"/>
          <w:color w:val="212121"/>
          <w:szCs w:val="24"/>
        </w:rPr>
        <w:t xml:space="preserve">coupling” to demonstrate the impact of supply chains on biodiversity and </w:t>
      </w:r>
      <w:r w:rsidR="0068309A">
        <w:rPr>
          <w:rFonts w:ascii="Times New Roman" w:hAnsi="Times New Roman"/>
          <w:color w:val="212121"/>
          <w:szCs w:val="24"/>
        </w:rPr>
        <w:t xml:space="preserve">its relevance in </w:t>
      </w:r>
      <w:r w:rsidR="0068309A">
        <w:rPr>
          <w:rFonts w:ascii="Times New Roman" w:hAnsi="Times New Roman"/>
          <w:color w:val="212121"/>
          <w:szCs w:val="24"/>
        </w:rPr>
        <w:lastRenderedPageBreak/>
        <w:t xml:space="preserve">understanding </w:t>
      </w:r>
      <w:r w:rsidRPr="00BC7D53">
        <w:rPr>
          <w:rFonts w:ascii="Times New Roman" w:hAnsi="Times New Roman"/>
          <w:color w:val="212121"/>
          <w:szCs w:val="24"/>
        </w:rPr>
        <w:t xml:space="preserve">environmental justice in trade agreements.  In doing this, the paper emphasizes that even if nations decide to exit a trade agreement, </w:t>
      </w:r>
      <w:r>
        <w:rPr>
          <w:rFonts w:ascii="Times New Roman" w:hAnsi="Times New Roman"/>
          <w:color w:val="212121"/>
          <w:szCs w:val="24"/>
        </w:rPr>
        <w:t xml:space="preserve">the expansion of supply chains disaggregates the diffusion of sustainability and environmental justice strategies into supply chains from the neoliberal goals of trade legal frameworks.  </w:t>
      </w:r>
      <w:r>
        <w:rPr>
          <w:rFonts w:ascii="Times New Roman" w:hAnsi="Times New Roman"/>
        </w:rPr>
        <w:t xml:space="preserve">By including an analysis of supply chain structures for specific commodities like avocados and critical minerals, the paper highlights the interconnections among trade liberalization patterns, supply chain expansion, and environmental justice challenges.  </w:t>
      </w:r>
      <w:r w:rsidRPr="00BC7D53">
        <w:rPr>
          <w:rFonts w:ascii="Times New Roman" w:hAnsi="Times New Roman"/>
          <w:color w:val="212121"/>
          <w:szCs w:val="24"/>
        </w:rPr>
        <w:t xml:space="preserve">The third innovative normative move of this paper is that in demonstrating the ways that environmental justice strategies are woven into sustainability standards of preferential trade agreements, it asserts that these agreements </w:t>
      </w:r>
      <w:r>
        <w:rPr>
          <w:rFonts w:ascii="Times New Roman" w:hAnsi="Times New Roman"/>
          <w:color w:val="212121"/>
          <w:szCs w:val="24"/>
        </w:rPr>
        <w:t xml:space="preserve">are not only remnants of a neoliberal era in transition, but they also </w:t>
      </w:r>
      <w:r w:rsidRPr="00BC7D53">
        <w:rPr>
          <w:rFonts w:ascii="Times New Roman" w:hAnsi="Times New Roman"/>
          <w:color w:val="212121"/>
          <w:szCs w:val="24"/>
        </w:rPr>
        <w:t xml:space="preserve">encapsulate social policy values of a region, insulating them from political volatility of any one nation.   </w:t>
      </w:r>
      <w:r>
        <w:rPr>
          <w:rFonts w:ascii="Times New Roman" w:hAnsi="Times New Roman"/>
          <w:color w:val="212121"/>
          <w:szCs w:val="24"/>
        </w:rPr>
        <w:t xml:space="preserve">They provide </w:t>
      </w:r>
      <w:r w:rsidR="0068309A">
        <w:rPr>
          <w:rFonts w:ascii="Times New Roman" w:hAnsi="Times New Roman"/>
          <w:color w:val="212121"/>
          <w:szCs w:val="24"/>
        </w:rPr>
        <w:t xml:space="preserve">relevant </w:t>
      </w:r>
      <w:r>
        <w:rPr>
          <w:rFonts w:ascii="Times New Roman" w:hAnsi="Times New Roman"/>
          <w:color w:val="212121"/>
          <w:szCs w:val="24"/>
        </w:rPr>
        <w:t xml:space="preserve">normative frameworks for reimagining the relationship of free trade, global supply chains, and shared social policy values.  </w:t>
      </w:r>
      <w:r>
        <w:rPr>
          <w:rFonts w:ascii="Times New Roman" w:hAnsi="Times New Roman"/>
        </w:rPr>
        <w:t xml:space="preserve">Counter to </w:t>
      </w:r>
      <w:r w:rsidR="002C0FC4">
        <w:rPr>
          <w:rFonts w:ascii="Times New Roman" w:hAnsi="Times New Roman"/>
        </w:rPr>
        <w:t xml:space="preserve">traditional </w:t>
      </w:r>
      <w:r>
        <w:rPr>
          <w:rFonts w:ascii="Times New Roman" w:hAnsi="Times New Roman"/>
        </w:rPr>
        <w:t>critiques of neoliberal free trade agreements as ignoring labor and environmental values, this paper provides an optimistic lens towards regional and bilateral trade agreements which, contrary to current internal democratic back-sliding</w:t>
      </w:r>
      <w:r w:rsidR="0068309A">
        <w:rPr>
          <w:rFonts w:ascii="Times New Roman" w:hAnsi="Times New Roman"/>
        </w:rPr>
        <w:t xml:space="preserve"> trends</w:t>
      </w:r>
      <w:r>
        <w:rPr>
          <w:rFonts w:ascii="Times New Roman" w:hAnsi="Times New Roman"/>
        </w:rPr>
        <w:t xml:space="preserve">, can be seen as important </w:t>
      </w:r>
      <w:r w:rsidR="002C0FC4">
        <w:rPr>
          <w:rFonts w:ascii="Times New Roman" w:hAnsi="Times New Roman"/>
        </w:rPr>
        <w:t xml:space="preserve">policy </w:t>
      </w:r>
      <w:r>
        <w:rPr>
          <w:rFonts w:ascii="Times New Roman" w:hAnsi="Times New Roman"/>
        </w:rPr>
        <w:t xml:space="preserve">instruments </w:t>
      </w:r>
      <w:r w:rsidR="0068309A">
        <w:rPr>
          <w:rFonts w:ascii="Times New Roman" w:hAnsi="Times New Roman"/>
        </w:rPr>
        <w:t>for</w:t>
      </w:r>
      <w:r>
        <w:rPr>
          <w:rFonts w:ascii="Times New Roman" w:hAnsi="Times New Roman"/>
        </w:rPr>
        <w:t xml:space="preserve"> preserving democratically bargained for social policy values.</w:t>
      </w:r>
    </w:p>
    <w:p w14:paraId="3C6C065E" w14:textId="77777777" w:rsidR="008E33A6" w:rsidRDefault="008E33A6"/>
    <w:sectPr w:rsidR="008E33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0FDFB" w14:textId="77777777" w:rsidR="00B853D6" w:rsidRDefault="00B853D6" w:rsidP="009376A4">
      <w:r>
        <w:separator/>
      </w:r>
    </w:p>
  </w:endnote>
  <w:endnote w:type="continuationSeparator" w:id="0">
    <w:p w14:paraId="7CF2C991" w14:textId="77777777" w:rsidR="00B853D6" w:rsidRDefault="00B853D6" w:rsidP="0093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1F60B" w14:textId="77777777" w:rsidR="00B853D6" w:rsidRDefault="00B853D6" w:rsidP="009376A4">
      <w:r>
        <w:separator/>
      </w:r>
    </w:p>
  </w:footnote>
  <w:footnote w:type="continuationSeparator" w:id="0">
    <w:p w14:paraId="74BA5B23" w14:textId="77777777" w:rsidR="00B853D6" w:rsidRDefault="00B853D6" w:rsidP="009376A4">
      <w:r>
        <w:continuationSeparator/>
      </w:r>
    </w:p>
  </w:footnote>
  <w:footnote w:id="1">
    <w:p w14:paraId="007A90A4" w14:textId="77777777" w:rsidR="009376A4" w:rsidRPr="00E61478" w:rsidRDefault="009376A4" w:rsidP="009376A4">
      <w:pPr>
        <w:rPr>
          <w:rFonts w:ascii="Times New Roman" w:eastAsiaTheme="minorEastAsia" w:hAnsi="Times New Roman"/>
          <w:noProof/>
          <w:color w:val="212121"/>
          <w:sz w:val="20"/>
        </w:rPr>
      </w:pPr>
      <w:r w:rsidRPr="00E61478">
        <w:rPr>
          <w:rStyle w:val="FootnoteReference"/>
          <w:rFonts w:ascii="Times New Roman" w:eastAsiaTheme="majorEastAsia" w:hAnsi="Times New Roman"/>
          <w:sz w:val="20"/>
        </w:rPr>
        <w:t>*</w:t>
      </w:r>
      <w:r w:rsidRPr="00E61478">
        <w:rPr>
          <w:rFonts w:ascii="Times New Roman" w:hAnsi="Times New Roman"/>
          <w:sz w:val="20"/>
        </w:rPr>
        <w:t xml:space="preserve">Elizabeth Trujillo is the </w:t>
      </w:r>
      <w:r w:rsidRPr="00E61478">
        <w:rPr>
          <w:rFonts w:ascii="Times New Roman" w:eastAsiaTheme="minorEastAsia" w:hAnsi="Times New Roman"/>
          <w:noProof/>
          <w:color w:val="333333"/>
          <w:sz w:val="20"/>
        </w:rPr>
        <w:t>Mary Ann &amp; Lawrence E. Faust Professor of Law and Founding Director, Initiative on Global Law and Policy for the Americas</w:t>
      </w:r>
      <w:r>
        <w:rPr>
          <w:rFonts w:ascii="Times New Roman" w:eastAsiaTheme="minorEastAsia" w:hAnsi="Times New Roman"/>
          <w:noProof/>
          <w:color w:val="333333"/>
          <w:sz w:val="20"/>
        </w:rPr>
        <w:t xml:space="preserve">.  She can be contacted at </w:t>
      </w:r>
      <w:hyperlink r:id="rId1" w:history="1">
        <w:r w:rsidRPr="00FD4F29">
          <w:rPr>
            <w:rStyle w:val="Hyperlink"/>
            <w:rFonts w:ascii="Times New Roman" w:eastAsiaTheme="minorEastAsia" w:hAnsi="Times New Roman"/>
            <w:noProof/>
            <w:sz w:val="20"/>
          </w:rPr>
          <w:t>eitrujil@central.uh.edu</w:t>
        </w:r>
      </w:hyperlink>
      <w:r>
        <w:rPr>
          <w:rFonts w:ascii="Times New Roman" w:eastAsiaTheme="minorEastAsia" w:hAnsi="Times New Roman"/>
          <w:noProof/>
          <w:color w:val="333333"/>
          <w:sz w:val="20"/>
        </w:rPr>
        <w:t xml:space="preserve">.  This paper has benefitted from input provided by colleagues at the the Association of Law, Property, and Society 2024 Annual Meeting, the 2024 USMCA and Sustainable Development Workshop by the Commission for Environmental Cooperation; participants at the 2024 ICON-S Annual Conference; and colleagues participating in </w:t>
      </w:r>
      <w:r w:rsidRPr="00D6574B">
        <w:rPr>
          <w:rFonts w:ascii="Times New Roman" w:eastAsiaTheme="minorEastAsia" w:hAnsi="Times New Roman"/>
          <w:i/>
          <w:iCs/>
          <w:noProof/>
          <w:color w:val="333333"/>
          <w:sz w:val="20"/>
        </w:rPr>
        <w:t>Conversations on Latin American International Law</w:t>
      </w:r>
      <w:r>
        <w:rPr>
          <w:rFonts w:ascii="Times New Roman" w:eastAsiaTheme="minorEastAsia" w:hAnsi="Times New Roman"/>
          <w:noProof/>
          <w:color w:val="333333"/>
          <w:sz w:val="20"/>
        </w:rPr>
        <w:t xml:space="preserve"> 2025 workshop at the European University Institute.   Thanks to Hari Osofsky, Rebecca Hardin, Rebecca Bratspies, David Wirth, and David Gantz for their comments on earilier drafts.  Special thanks to colleagues at the University of Houston Law Center participating in a works-in-progress commenting on this paper, as well as UHLC law library, especially Chris Dykes, for their research assistance.  I want to thank my research assistants, UHLC students Evan Bilicek, Olivia Unzueta, Madison Oswald, and Irene Younan, for their helpful research on this paper.</w:t>
      </w:r>
    </w:p>
    <w:p w14:paraId="790BA30A" w14:textId="77777777" w:rsidR="009376A4" w:rsidRDefault="009376A4" w:rsidP="009376A4">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A4"/>
    <w:rsid w:val="002C0FC4"/>
    <w:rsid w:val="00327B7B"/>
    <w:rsid w:val="00571A9A"/>
    <w:rsid w:val="006337AA"/>
    <w:rsid w:val="0068309A"/>
    <w:rsid w:val="007D57D5"/>
    <w:rsid w:val="00822144"/>
    <w:rsid w:val="0084154D"/>
    <w:rsid w:val="008E33A6"/>
    <w:rsid w:val="009376A4"/>
    <w:rsid w:val="00AF3A3A"/>
    <w:rsid w:val="00B853D6"/>
    <w:rsid w:val="00C33E4A"/>
    <w:rsid w:val="00CC525C"/>
    <w:rsid w:val="00D23283"/>
    <w:rsid w:val="00D51BC6"/>
    <w:rsid w:val="00E66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DE170C"/>
  <w15:chartTrackingRefBased/>
  <w15:docId w15:val="{A27575CD-8E6C-5B43-9715-C4EDC459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6A4"/>
    <w:pPr>
      <w:widowControl w:val="0"/>
      <w:spacing w:after="0" w:line="240" w:lineRule="auto"/>
      <w:ind w:firstLine="360"/>
      <w:jc w:val="both"/>
    </w:pPr>
    <w:rPr>
      <w:rFonts w:ascii="CG Times" w:eastAsia="Times New Roman" w:hAnsi="CG Times" w:cs="Times New Roman"/>
      <w:kern w:val="0"/>
      <w:szCs w:val="20"/>
      <w14:ligatures w14:val="none"/>
    </w:rPr>
  </w:style>
  <w:style w:type="paragraph" w:styleId="Heading1">
    <w:name w:val="heading 1"/>
    <w:basedOn w:val="Normal"/>
    <w:next w:val="Normal"/>
    <w:link w:val="Heading1Char"/>
    <w:uiPriority w:val="9"/>
    <w:qFormat/>
    <w:rsid w:val="009376A4"/>
    <w:pPr>
      <w:keepNext/>
      <w:keepLines/>
      <w:widowControl/>
      <w:spacing w:before="360" w:after="80" w:line="278"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76A4"/>
    <w:pPr>
      <w:keepNext/>
      <w:keepLines/>
      <w:widowControl/>
      <w:spacing w:before="160" w:after="80" w:line="278" w:lineRule="auto"/>
      <w:ind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76A4"/>
    <w:pPr>
      <w:keepNext/>
      <w:keepLines/>
      <w:widowControl/>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76A4"/>
    <w:pPr>
      <w:keepNext/>
      <w:keepLines/>
      <w:widowControl/>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9376A4"/>
    <w:pPr>
      <w:keepNext/>
      <w:keepLines/>
      <w:widowControl/>
      <w:spacing w:before="80" w:after="40" w:line="278" w:lineRule="auto"/>
      <w:ind w:firstLine="0"/>
      <w:jc w:val="left"/>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9376A4"/>
    <w:pPr>
      <w:keepNext/>
      <w:keepLines/>
      <w:widowControl/>
      <w:spacing w:before="40" w:line="278" w:lineRule="auto"/>
      <w:ind w:firstLine="0"/>
      <w:jc w:val="left"/>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9376A4"/>
    <w:pPr>
      <w:keepNext/>
      <w:keepLines/>
      <w:widowControl/>
      <w:spacing w:before="40" w:line="278" w:lineRule="auto"/>
      <w:ind w:firstLine="0"/>
      <w:jc w:val="left"/>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9376A4"/>
    <w:pPr>
      <w:keepNext/>
      <w:keepLines/>
      <w:widowControl/>
      <w:spacing w:line="278" w:lineRule="auto"/>
      <w:ind w:firstLine="0"/>
      <w:jc w:val="left"/>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9376A4"/>
    <w:pPr>
      <w:keepNext/>
      <w:keepLines/>
      <w:widowControl/>
      <w:spacing w:line="278" w:lineRule="auto"/>
      <w:ind w:firstLine="0"/>
      <w:jc w:val="left"/>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6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6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6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6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6A4"/>
    <w:rPr>
      <w:rFonts w:eastAsiaTheme="majorEastAsia" w:cstheme="majorBidi"/>
      <w:color w:val="272727" w:themeColor="text1" w:themeTint="D8"/>
    </w:rPr>
  </w:style>
  <w:style w:type="paragraph" w:styleId="Title">
    <w:name w:val="Title"/>
    <w:basedOn w:val="Normal"/>
    <w:next w:val="Normal"/>
    <w:link w:val="TitleChar"/>
    <w:uiPriority w:val="10"/>
    <w:qFormat/>
    <w:rsid w:val="009376A4"/>
    <w:pPr>
      <w:widowControl/>
      <w:spacing w:after="80"/>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7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6A4"/>
    <w:pPr>
      <w:widowControl/>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7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6A4"/>
    <w:pPr>
      <w:widowControl/>
      <w:spacing w:before="160" w:after="160" w:line="278" w:lineRule="auto"/>
      <w:ind w:firstLine="0"/>
      <w:jc w:val="center"/>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9376A4"/>
    <w:rPr>
      <w:i/>
      <w:iCs/>
      <w:color w:val="404040" w:themeColor="text1" w:themeTint="BF"/>
    </w:rPr>
  </w:style>
  <w:style w:type="paragraph" w:styleId="ListParagraph">
    <w:name w:val="List Paragraph"/>
    <w:basedOn w:val="Normal"/>
    <w:uiPriority w:val="34"/>
    <w:qFormat/>
    <w:rsid w:val="009376A4"/>
    <w:pPr>
      <w:widowControl/>
      <w:spacing w:after="160" w:line="278" w:lineRule="auto"/>
      <w:ind w:left="720" w:firstLine="0"/>
      <w:contextualSpacing/>
      <w:jc w:val="left"/>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9376A4"/>
    <w:rPr>
      <w:i/>
      <w:iCs/>
      <w:color w:val="0F4761" w:themeColor="accent1" w:themeShade="BF"/>
    </w:rPr>
  </w:style>
  <w:style w:type="paragraph" w:styleId="IntenseQuote">
    <w:name w:val="Intense Quote"/>
    <w:basedOn w:val="Normal"/>
    <w:next w:val="Normal"/>
    <w:link w:val="IntenseQuoteChar"/>
    <w:uiPriority w:val="30"/>
    <w:qFormat/>
    <w:rsid w:val="009376A4"/>
    <w:pPr>
      <w:widowControl/>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9376A4"/>
    <w:rPr>
      <w:i/>
      <w:iCs/>
      <w:color w:val="0F4761" w:themeColor="accent1" w:themeShade="BF"/>
    </w:rPr>
  </w:style>
  <w:style w:type="character" w:styleId="IntenseReference">
    <w:name w:val="Intense Reference"/>
    <w:basedOn w:val="DefaultParagraphFont"/>
    <w:uiPriority w:val="32"/>
    <w:qFormat/>
    <w:rsid w:val="009376A4"/>
    <w:rPr>
      <w:b/>
      <w:bCs/>
      <w:smallCaps/>
      <w:color w:val="0F4761" w:themeColor="accent1" w:themeShade="BF"/>
      <w:spacing w:val="5"/>
    </w:rPr>
  </w:style>
  <w:style w:type="character" w:styleId="FootnoteReference">
    <w:name w:val="footnote reference"/>
    <w:basedOn w:val="DefaultParagraphFont"/>
    <w:uiPriority w:val="99"/>
    <w:semiHidden/>
    <w:rsid w:val="009376A4"/>
    <w:rPr>
      <w:vertAlign w:val="superscript"/>
    </w:rPr>
  </w:style>
  <w:style w:type="paragraph" w:styleId="FootnoteText">
    <w:name w:val="footnote text"/>
    <w:basedOn w:val="Normal"/>
    <w:link w:val="FootnoteTextChar"/>
    <w:uiPriority w:val="99"/>
    <w:semiHidden/>
    <w:rsid w:val="009376A4"/>
    <w:rPr>
      <w:sz w:val="20"/>
    </w:rPr>
  </w:style>
  <w:style w:type="character" w:customStyle="1" w:styleId="FootnoteTextChar">
    <w:name w:val="Footnote Text Char"/>
    <w:basedOn w:val="DefaultParagraphFont"/>
    <w:link w:val="FootnoteText"/>
    <w:uiPriority w:val="99"/>
    <w:semiHidden/>
    <w:rsid w:val="009376A4"/>
    <w:rPr>
      <w:rFonts w:ascii="CG Times" w:eastAsia="Times New Roman" w:hAnsi="CG Times" w:cs="Times New Roman"/>
      <w:kern w:val="0"/>
      <w:sz w:val="20"/>
      <w:szCs w:val="20"/>
      <w14:ligatures w14:val="none"/>
    </w:rPr>
  </w:style>
  <w:style w:type="character" w:styleId="Hyperlink">
    <w:name w:val="Hyperlink"/>
    <w:basedOn w:val="DefaultParagraphFont"/>
    <w:uiPriority w:val="99"/>
    <w:rsid w:val="00937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eitrujil@central.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3511</Characters>
  <Application>Microsoft Office Word</Application>
  <DocSecurity>0</DocSecurity>
  <Lines>61</Lines>
  <Paragraphs>12</Paragraphs>
  <ScaleCrop>false</ScaleCrop>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Trujillo, Elizabeth I</dc:creator>
  <cp:keywords/>
  <dc:description/>
  <cp:lastModifiedBy>Trujillo, Elizabeth I</cp:lastModifiedBy>
  <cp:revision>2</cp:revision>
  <dcterms:created xsi:type="dcterms:W3CDTF">2025-04-28T07:22:00Z</dcterms:created>
  <dcterms:modified xsi:type="dcterms:W3CDTF">2025-04-28T07:22:00Z</dcterms:modified>
</cp:coreProperties>
</file>