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D5" w:rsidRPr="00AB15D5" w:rsidRDefault="001F0D13" w:rsidP="00AB15D5">
      <w:pPr>
        <w:jc w:val="center"/>
        <w:rPr>
          <w:rFonts w:cs="Arial"/>
          <w:b/>
          <w:bCs/>
          <w:sz w:val="36"/>
          <w:szCs w:val="36"/>
          <w:lang w:val="en-US"/>
        </w:rPr>
      </w:pPr>
      <w:bookmarkStart w:id="0" w:name="_GoBack"/>
      <w:r w:rsidRPr="00AB15D5">
        <w:rPr>
          <w:rFonts w:cs="Arial"/>
          <w:b/>
          <w:bCs/>
          <w:sz w:val="36"/>
          <w:szCs w:val="36"/>
          <w:lang w:val="en-US"/>
        </w:rPr>
        <w:t>The Law and Policy of Trade in Services</w:t>
      </w:r>
    </w:p>
    <w:bookmarkEnd w:id="0"/>
    <w:p w:rsidR="005664BB" w:rsidRPr="00AB15D5" w:rsidRDefault="005664BB" w:rsidP="00AB15D5">
      <w:pPr>
        <w:spacing w:after="0"/>
        <w:rPr>
          <w:rFonts w:cs="Arial"/>
          <w:b/>
          <w:lang w:val="en-US"/>
        </w:rPr>
      </w:pPr>
      <w:r w:rsidRPr="00AB15D5">
        <w:rPr>
          <w:rFonts w:cs="Arial"/>
          <w:b/>
          <w:lang w:val="en-US"/>
        </w:rPr>
        <w:t>ECTS: 3</w:t>
      </w:r>
    </w:p>
    <w:p w:rsidR="005664BB" w:rsidRDefault="005664BB" w:rsidP="00AB15D5">
      <w:pPr>
        <w:spacing w:after="0"/>
        <w:jc w:val="both"/>
        <w:rPr>
          <w:rFonts w:cs="Arial"/>
          <w:b/>
          <w:lang w:val="en-US"/>
        </w:rPr>
      </w:pPr>
      <w:r w:rsidRPr="00AB15D5">
        <w:rPr>
          <w:rFonts w:cs="Arial"/>
          <w:b/>
          <w:lang w:val="en-US"/>
        </w:rPr>
        <w:t xml:space="preserve">KSL Root Number: </w:t>
      </w:r>
      <w:r w:rsidR="001F0D13" w:rsidRPr="00AB15D5">
        <w:rPr>
          <w:rFonts w:cs="Arial"/>
          <w:b/>
          <w:lang w:val="en-US"/>
        </w:rPr>
        <w:t>446641</w:t>
      </w:r>
    </w:p>
    <w:p w:rsidR="00AB15D5" w:rsidRDefault="00AB15D5" w:rsidP="005664BB">
      <w:pPr>
        <w:jc w:val="both"/>
        <w:rPr>
          <w:rFonts w:cs="Arial"/>
          <w:b/>
          <w:lang w:val="en-US"/>
        </w:rPr>
      </w:pPr>
    </w:p>
    <w:p w:rsidR="00AB15D5" w:rsidRPr="00AB15D5" w:rsidRDefault="00AB15D5" w:rsidP="00AB15D5">
      <w:pPr>
        <w:spacing w:after="0"/>
        <w:jc w:val="both"/>
        <w:rPr>
          <w:rFonts w:cs="Arial"/>
          <w:b/>
          <w:sz w:val="32"/>
          <w:szCs w:val="32"/>
          <w:lang w:val="en-US"/>
        </w:rPr>
      </w:pPr>
      <w:r w:rsidRPr="00AB15D5">
        <w:rPr>
          <w:rFonts w:cs="Arial"/>
          <w:b/>
          <w:sz w:val="32"/>
          <w:szCs w:val="32"/>
          <w:lang w:val="en-US"/>
        </w:rPr>
        <w:t xml:space="preserve">Course description </w:t>
      </w:r>
    </w:p>
    <w:p w:rsidR="001F0D13" w:rsidRPr="00AB15D5" w:rsidRDefault="001F0D13" w:rsidP="00AB15D5">
      <w:pPr>
        <w:jc w:val="both"/>
        <w:rPr>
          <w:rFonts w:cs="Arial"/>
          <w:lang w:val="en-GB"/>
        </w:rPr>
      </w:pPr>
      <w:r w:rsidRPr="00AB15D5">
        <w:rPr>
          <w:rFonts w:cs="Arial"/>
          <w:lang w:val="en-GB"/>
        </w:rPr>
        <w:t>The course addresses the law, economics and policy of services trade, explores negotiating challenges in selected sectors and addresses key political economy challenges arising from services rule-making and market opening, including in preferential settings. It describes the legal architecture of agreements governing services trade and distils key lessons from evolving jurisprudence.</w:t>
      </w:r>
    </w:p>
    <w:p w:rsidR="005664BB" w:rsidRPr="005664BB" w:rsidRDefault="005664BB" w:rsidP="005664BB">
      <w:pPr>
        <w:jc w:val="both"/>
        <w:rPr>
          <w:lang w:val="en-GB"/>
        </w:rPr>
      </w:pPr>
    </w:p>
    <w:sectPr w:rsidR="005664BB" w:rsidRPr="005664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13" w:rsidRDefault="001F0D13" w:rsidP="001F0D13">
      <w:pPr>
        <w:spacing w:after="0" w:line="240" w:lineRule="auto"/>
      </w:pPr>
      <w:r>
        <w:separator/>
      </w:r>
    </w:p>
  </w:endnote>
  <w:endnote w:type="continuationSeparator" w:id="0">
    <w:p w:rsidR="001F0D13" w:rsidRDefault="001F0D13" w:rsidP="001F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13" w:rsidRDefault="001F0D13" w:rsidP="001F0D13">
      <w:pPr>
        <w:spacing w:after="0" w:line="240" w:lineRule="auto"/>
      </w:pPr>
      <w:r>
        <w:separator/>
      </w:r>
    </w:p>
  </w:footnote>
  <w:footnote w:type="continuationSeparator" w:id="0">
    <w:p w:rsidR="001F0D13" w:rsidRDefault="001F0D13" w:rsidP="001F0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B"/>
    <w:rsid w:val="001F0D13"/>
    <w:rsid w:val="002D4485"/>
    <w:rsid w:val="004E54EC"/>
    <w:rsid w:val="00536CC3"/>
    <w:rsid w:val="005664BB"/>
    <w:rsid w:val="00A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B15D5"/>
    <w:pPr>
      <w:keepNext/>
      <w:spacing w:before="600" w:after="0" w:line="240" w:lineRule="auto"/>
      <w:outlineLvl w:val="1"/>
    </w:pPr>
    <w:rPr>
      <w:rFonts w:ascii="Century Gothic" w:eastAsia="Times New Roman" w:hAnsi="Century Gothic" w:cs="Arial"/>
      <w:b/>
      <w:bCs/>
      <w:iCs/>
      <w:szCs w:val="28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13"/>
  </w:style>
  <w:style w:type="paragraph" w:styleId="Footer">
    <w:name w:val="footer"/>
    <w:basedOn w:val="Normal"/>
    <w:link w:val="FooterChar"/>
    <w:uiPriority w:val="99"/>
    <w:unhideWhenUsed/>
    <w:rsid w:val="001F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13"/>
  </w:style>
  <w:style w:type="character" w:customStyle="1" w:styleId="Heading2Char">
    <w:name w:val="Heading 2 Char"/>
    <w:basedOn w:val="DefaultParagraphFont"/>
    <w:link w:val="Heading2"/>
    <w:semiHidden/>
    <w:rsid w:val="00AB15D5"/>
    <w:rPr>
      <w:rFonts w:ascii="Century Gothic" w:eastAsia="Times New Roman" w:hAnsi="Century Gothic" w:cs="Arial"/>
      <w:b/>
      <w:bCs/>
      <w:iCs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B15D5"/>
    <w:pPr>
      <w:keepNext/>
      <w:spacing w:before="600" w:after="0" w:line="240" w:lineRule="auto"/>
      <w:outlineLvl w:val="1"/>
    </w:pPr>
    <w:rPr>
      <w:rFonts w:ascii="Century Gothic" w:eastAsia="Times New Roman" w:hAnsi="Century Gothic" w:cs="Arial"/>
      <w:b/>
      <w:bCs/>
      <w:iCs/>
      <w:szCs w:val="28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13"/>
  </w:style>
  <w:style w:type="paragraph" w:styleId="Footer">
    <w:name w:val="footer"/>
    <w:basedOn w:val="Normal"/>
    <w:link w:val="FooterChar"/>
    <w:uiPriority w:val="99"/>
    <w:unhideWhenUsed/>
    <w:rsid w:val="001F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13"/>
  </w:style>
  <w:style w:type="character" w:customStyle="1" w:styleId="Heading2Char">
    <w:name w:val="Heading 2 Char"/>
    <w:basedOn w:val="DefaultParagraphFont"/>
    <w:link w:val="Heading2"/>
    <w:semiHidden/>
    <w:rsid w:val="00AB15D5"/>
    <w:rPr>
      <w:rFonts w:ascii="Century Gothic" w:eastAsia="Times New Roman" w:hAnsi="Century Gothic" w:cs="Arial"/>
      <w:b/>
      <w:bCs/>
      <w:iCs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rw.unibe.ch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Pauli</dc:creator>
  <cp:lastModifiedBy>Karin Jenny Rosenberg</cp:lastModifiedBy>
  <cp:revision>2</cp:revision>
  <dcterms:created xsi:type="dcterms:W3CDTF">2020-01-07T10:20:00Z</dcterms:created>
  <dcterms:modified xsi:type="dcterms:W3CDTF">2020-01-07T10:20:00Z</dcterms:modified>
</cp:coreProperties>
</file>